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07781" w:rsidRDefault="00743576">
      <w:pPr>
        <w:pStyle w:val="berschrift2"/>
        <w:spacing w:before="0" w:line="276" w:lineRule="auto"/>
        <w:jc w:val="center"/>
        <w:rPr>
          <w:rFonts w:eastAsia="Times New Roman"/>
          <w:b w:val="0"/>
          <w:sz w:val="24"/>
          <w:szCs w:val="24"/>
        </w:rPr>
      </w:pPr>
      <w:r>
        <w:rPr>
          <w:rFonts w:eastAsia="Times New Roman"/>
          <w:b w:val="0"/>
          <w:sz w:val="24"/>
          <w:szCs w:val="24"/>
        </w:rPr>
        <w:t>Bernd Kulawik</w:t>
      </w:r>
    </w:p>
    <w:p w:rsidR="00307781" w:rsidRDefault="00307781">
      <w:pPr>
        <w:pStyle w:val="berschrift2"/>
        <w:spacing w:line="276" w:lineRule="auto"/>
        <w:jc w:val="center"/>
        <w:rPr>
          <w:rFonts w:eastAsia="Times New Roman"/>
          <w:sz w:val="24"/>
          <w:szCs w:val="24"/>
        </w:rPr>
      </w:pPr>
    </w:p>
    <w:p w:rsidR="00307781" w:rsidRDefault="00307781">
      <w:pPr>
        <w:pStyle w:val="berschrift2"/>
        <w:spacing w:line="276" w:lineRule="auto"/>
        <w:jc w:val="center"/>
        <w:rPr>
          <w:rFonts w:eastAsia="Times New Roman"/>
          <w:sz w:val="24"/>
          <w:szCs w:val="24"/>
        </w:rPr>
      </w:pPr>
    </w:p>
    <w:p w:rsidR="00307781" w:rsidRDefault="00307781">
      <w:pPr>
        <w:pStyle w:val="berschrift2"/>
        <w:spacing w:line="276" w:lineRule="auto"/>
        <w:jc w:val="center"/>
        <w:rPr>
          <w:rFonts w:eastAsia="Times New Roman"/>
          <w:sz w:val="24"/>
          <w:szCs w:val="24"/>
        </w:rPr>
      </w:pPr>
    </w:p>
    <w:p w:rsidR="00307781" w:rsidRDefault="00307781">
      <w:pPr>
        <w:pStyle w:val="berschrift2"/>
        <w:spacing w:line="276" w:lineRule="auto"/>
        <w:jc w:val="center"/>
        <w:rPr>
          <w:rFonts w:eastAsia="Times New Roman"/>
          <w:sz w:val="24"/>
          <w:szCs w:val="24"/>
        </w:rPr>
      </w:pPr>
    </w:p>
    <w:p w:rsidR="00307781" w:rsidRDefault="00743576">
      <w:pPr>
        <w:pStyle w:val="berschrift2"/>
        <w:spacing w:line="276" w:lineRule="auto"/>
        <w:jc w:val="center"/>
        <w:rPr>
          <w:rFonts w:eastAsia="Times New Roman"/>
          <w:sz w:val="28"/>
          <w:szCs w:val="28"/>
        </w:rPr>
      </w:pPr>
      <w:r>
        <w:rPr>
          <w:rFonts w:eastAsia="Times New Roman"/>
          <w:sz w:val="28"/>
          <w:szCs w:val="28"/>
        </w:rPr>
        <w:t>Rom in Gotha</w:t>
      </w:r>
    </w:p>
    <w:p w:rsidR="00307781" w:rsidRDefault="00743576">
      <w:pPr>
        <w:pStyle w:val="berschrift2"/>
        <w:spacing w:line="276" w:lineRule="auto"/>
        <w:jc w:val="center"/>
        <w:rPr>
          <w:rFonts w:eastAsia="Times New Roman"/>
          <w:sz w:val="24"/>
          <w:szCs w:val="24"/>
        </w:rPr>
      </w:pPr>
      <w:r>
        <w:rPr>
          <w:rFonts w:eastAsia="Times New Roman"/>
          <w:sz w:val="24"/>
          <w:szCs w:val="24"/>
        </w:rPr>
        <w:t>Antike Architektur in Jacopo Stradas Gothaer Münzzeichnungen</w:t>
      </w: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307781">
      <w:pPr>
        <w:spacing w:line="276" w:lineRule="auto"/>
        <w:jc w:val="center"/>
        <w:rPr>
          <w:rFonts w:eastAsia="Times New Roman"/>
          <w:sz w:val="24"/>
        </w:rPr>
      </w:pPr>
    </w:p>
    <w:p w:rsidR="00307781" w:rsidRDefault="00743576">
      <w:pPr>
        <w:spacing w:line="276" w:lineRule="auto"/>
        <w:jc w:val="center"/>
      </w:pPr>
      <w:r>
        <w:rPr>
          <w:rFonts w:eastAsia="Times New Roman"/>
          <w:sz w:val="22"/>
          <w:szCs w:val="22"/>
        </w:rPr>
        <w:t xml:space="preserve">Freundeskreis der Forschungsbibliothek Gotha e.V. </w:t>
      </w:r>
    </w:p>
    <w:p w:rsidR="00307781" w:rsidRDefault="00743576">
      <w:pPr>
        <w:spacing w:line="276" w:lineRule="auto"/>
        <w:jc w:val="center"/>
        <w:rPr>
          <w:rFonts w:eastAsia="Times New Roman"/>
          <w:sz w:val="22"/>
          <w:szCs w:val="22"/>
        </w:rPr>
      </w:pPr>
      <w:r>
        <w:rPr>
          <w:rFonts w:eastAsia="Times New Roman"/>
          <w:sz w:val="22"/>
          <w:szCs w:val="22"/>
        </w:rPr>
        <w:t>Gotha 2020</w:t>
      </w:r>
    </w:p>
    <w:p w:rsidR="00307781" w:rsidRDefault="00743576">
      <w:pPr>
        <w:spacing w:line="276" w:lineRule="auto"/>
      </w:pPr>
      <w:r>
        <w:rPr>
          <w:rStyle w:val="pplr8t-x-x-1201"/>
          <w:rFonts w:eastAsia="Times New Roman"/>
          <w:sz w:val="20"/>
          <w:szCs w:val="20"/>
        </w:rPr>
        <w:lastRenderedPageBreak/>
        <w:t>Schriftenreihe des Freundeskreises</w:t>
      </w:r>
    </w:p>
    <w:p w:rsidR="00307781" w:rsidRDefault="00743576">
      <w:pPr>
        <w:spacing w:line="276" w:lineRule="auto"/>
        <w:rPr>
          <w:rStyle w:val="pplr8t-x-x-1201"/>
          <w:rFonts w:eastAsia="Times New Roman"/>
          <w:sz w:val="20"/>
          <w:szCs w:val="20"/>
        </w:rPr>
      </w:pPr>
      <w:r>
        <w:rPr>
          <w:rStyle w:val="pplr8t-x-x-1201"/>
          <w:rFonts w:eastAsia="Times New Roman"/>
          <w:sz w:val="20"/>
          <w:szCs w:val="20"/>
        </w:rPr>
        <w:t>der Forschungsbibliothek Gotha e.V.,</w:t>
      </w:r>
    </w:p>
    <w:p w:rsidR="00307781" w:rsidRDefault="00743576">
      <w:pPr>
        <w:spacing w:line="276" w:lineRule="auto"/>
      </w:pPr>
      <w:r>
        <w:rPr>
          <w:rStyle w:val="pplr8t-x-x-1201"/>
          <w:rFonts w:eastAsia="Times New Roman"/>
          <w:sz w:val="20"/>
          <w:szCs w:val="20"/>
        </w:rPr>
        <w:t>herausgegeben von Miriam Rieger</w:t>
      </w:r>
    </w:p>
    <w:p w:rsidR="00307781" w:rsidRDefault="00307781">
      <w:pPr>
        <w:spacing w:line="276" w:lineRule="auto"/>
        <w:rPr>
          <w:rStyle w:val="pplr8t-x-x-1201"/>
          <w:rFonts w:eastAsia="Times New Roman"/>
          <w:sz w:val="20"/>
          <w:szCs w:val="20"/>
        </w:rPr>
      </w:pPr>
    </w:p>
    <w:p w:rsidR="00307781" w:rsidRDefault="00743576">
      <w:pPr>
        <w:spacing w:after="480" w:line="276" w:lineRule="auto"/>
        <w:rPr>
          <w:rStyle w:val="pplr8t-x-x-1201"/>
          <w:rFonts w:eastAsia="Times New Roman"/>
          <w:sz w:val="20"/>
          <w:szCs w:val="20"/>
        </w:rPr>
      </w:pPr>
      <w:r>
        <w:rPr>
          <w:rStyle w:val="pplr8t-x-x-1201"/>
          <w:rFonts w:eastAsia="Times New Roman"/>
          <w:sz w:val="20"/>
          <w:szCs w:val="20"/>
        </w:rPr>
        <w:t>Band [Zahl]</w:t>
      </w:r>
    </w:p>
    <w:p w:rsidR="00307781" w:rsidRDefault="00307781">
      <w:pPr>
        <w:spacing w:after="480" w:line="276" w:lineRule="auto"/>
      </w:pPr>
    </w:p>
    <w:p w:rsidR="00307781" w:rsidRDefault="00307781">
      <w:pPr>
        <w:spacing w:after="480" w:line="276" w:lineRule="auto"/>
      </w:pPr>
    </w:p>
    <w:p w:rsidR="00307781" w:rsidRDefault="00307781">
      <w:pPr>
        <w:spacing w:after="480" w:line="276" w:lineRule="auto"/>
      </w:pPr>
    </w:p>
    <w:p w:rsidR="00307781" w:rsidRDefault="00307781">
      <w:pPr>
        <w:spacing w:after="480" w:line="276" w:lineRule="auto"/>
      </w:pPr>
    </w:p>
    <w:p w:rsidR="00307781" w:rsidRDefault="00307781">
      <w:pPr>
        <w:spacing w:after="480" w:line="276" w:lineRule="auto"/>
      </w:pPr>
    </w:p>
    <w:p w:rsidR="00FF7F7D" w:rsidRDefault="00FF7F7D">
      <w:pPr>
        <w:spacing w:after="480" w:line="276" w:lineRule="auto"/>
      </w:pPr>
    </w:p>
    <w:p w:rsidR="00307781" w:rsidRDefault="00307781">
      <w:pPr>
        <w:spacing w:after="480" w:line="276" w:lineRule="auto"/>
      </w:pPr>
    </w:p>
    <w:p w:rsidR="00307781" w:rsidRDefault="00307781">
      <w:pPr>
        <w:spacing w:after="480" w:line="276" w:lineRule="auto"/>
      </w:pPr>
    </w:p>
    <w:p w:rsidR="00307781" w:rsidRDefault="00743576">
      <w:pPr>
        <w:spacing w:after="480" w:line="276" w:lineRule="auto"/>
      </w:pPr>
      <w:r>
        <w:t>Impressum:</w:t>
      </w:r>
    </w:p>
    <w:p w:rsidR="00307781" w:rsidRDefault="00743576">
      <w:pPr>
        <w:spacing w:after="480" w:line="276" w:lineRule="auto"/>
      </w:pPr>
      <w:r>
        <w:t>Kulawik, Bernd:</w:t>
      </w:r>
    </w:p>
    <w:p w:rsidR="00307781" w:rsidRDefault="00743576">
      <w:pPr>
        <w:spacing w:after="480" w:line="276" w:lineRule="auto"/>
      </w:pPr>
      <w:r>
        <w:t>Rom in Gotha.</w:t>
      </w:r>
    </w:p>
    <w:p w:rsidR="00307781" w:rsidRDefault="00743576">
      <w:pPr>
        <w:spacing w:after="480" w:line="276" w:lineRule="auto"/>
      </w:pPr>
      <w:r>
        <w:t xml:space="preserve">Antike Architektur in Jacopo Stradas Gothaer </w:t>
      </w:r>
    </w:p>
    <w:p w:rsidR="00307781" w:rsidRDefault="00743576">
      <w:pPr>
        <w:spacing w:after="480" w:line="276" w:lineRule="auto"/>
      </w:pPr>
      <w:r>
        <w:t xml:space="preserve">Münzzeichnungen  </w:t>
      </w:r>
    </w:p>
    <w:p w:rsidR="00307781" w:rsidRDefault="00307781">
      <w:pPr>
        <w:spacing w:after="480" w:line="276" w:lineRule="auto"/>
        <w:rPr>
          <w:rFonts w:eastAsia="Times New Roman"/>
          <w:szCs w:val="20"/>
        </w:rPr>
      </w:pPr>
    </w:p>
    <w:p w:rsidR="00307781" w:rsidRDefault="00743576">
      <w:pPr>
        <w:spacing w:after="480" w:line="276" w:lineRule="auto"/>
        <w:rPr>
          <w:rFonts w:eastAsia="Times New Roman"/>
          <w:szCs w:val="20"/>
        </w:rPr>
      </w:pPr>
      <w:r>
        <w:rPr>
          <w:rFonts w:eastAsia="Times New Roman"/>
          <w:szCs w:val="20"/>
        </w:rPr>
        <w:t>Gotha, März 2020</w:t>
      </w:r>
    </w:p>
    <w:p w:rsidR="00307781" w:rsidRDefault="00307781">
      <w:pPr>
        <w:spacing w:after="480" w:line="276" w:lineRule="auto"/>
        <w:rPr>
          <w:rFonts w:eastAsia="Times New Roman"/>
          <w:szCs w:val="20"/>
        </w:rPr>
      </w:pPr>
    </w:p>
    <w:p w:rsidR="00307781" w:rsidRDefault="00743576">
      <w:pPr>
        <w:spacing w:after="480" w:line="276" w:lineRule="auto"/>
        <w:rPr>
          <w:rFonts w:eastAsia="Times New Roman"/>
          <w:szCs w:val="20"/>
        </w:rPr>
      </w:pPr>
      <w:r>
        <w:rPr>
          <w:rFonts w:eastAsia="Times New Roman"/>
          <w:szCs w:val="20"/>
        </w:rPr>
        <w:t>Alle Rechte am Werk liegen beim Herausgeber:</w:t>
      </w:r>
    </w:p>
    <w:p w:rsidR="00307781" w:rsidRDefault="00743576">
      <w:pPr>
        <w:spacing w:after="480" w:line="276" w:lineRule="auto"/>
        <w:rPr>
          <w:rFonts w:eastAsia="Times New Roman"/>
          <w:szCs w:val="20"/>
        </w:rPr>
      </w:pPr>
      <w:r>
        <w:rPr>
          <w:rFonts w:eastAsia="Times New Roman"/>
          <w:szCs w:val="20"/>
        </w:rPr>
        <w:t>Freundeskreis der Forschungsbibliothek Gotha e.V.</w:t>
      </w:r>
    </w:p>
    <w:p w:rsidR="00307781" w:rsidRDefault="00743576">
      <w:pPr>
        <w:spacing w:after="480" w:line="276" w:lineRule="auto"/>
        <w:rPr>
          <w:rFonts w:eastAsia="Times New Roman"/>
          <w:szCs w:val="20"/>
        </w:rPr>
      </w:pPr>
      <w:r>
        <w:rPr>
          <w:rFonts w:eastAsia="Times New Roman"/>
          <w:szCs w:val="20"/>
        </w:rPr>
        <w:t>Universitäts- und Forschungsbibliothek Erfurt/Gotha</w:t>
      </w:r>
    </w:p>
    <w:p w:rsidR="00307781" w:rsidRDefault="00307781">
      <w:pPr>
        <w:spacing w:after="480" w:line="276" w:lineRule="auto"/>
        <w:rPr>
          <w:rFonts w:eastAsia="Times New Roman"/>
          <w:szCs w:val="20"/>
        </w:rPr>
      </w:pPr>
    </w:p>
    <w:p w:rsidR="00307781" w:rsidRDefault="00743576">
      <w:pPr>
        <w:spacing w:after="480" w:line="276" w:lineRule="auto"/>
        <w:rPr>
          <w:rFonts w:eastAsia="Times New Roman"/>
          <w:szCs w:val="20"/>
        </w:rPr>
      </w:pPr>
      <w:r>
        <w:rPr>
          <w:rFonts w:eastAsia="Times New Roman"/>
          <w:szCs w:val="20"/>
        </w:rPr>
        <w:t>Abbildungen: siehe Abbildungsverzeichnis, Seite [??]</w:t>
      </w:r>
    </w:p>
    <w:p w:rsidR="00307781" w:rsidRDefault="00307781">
      <w:pPr>
        <w:spacing w:after="480" w:line="276" w:lineRule="auto"/>
        <w:rPr>
          <w:rFonts w:eastAsia="Times New Roman"/>
          <w:szCs w:val="20"/>
        </w:rPr>
      </w:pPr>
    </w:p>
    <w:p w:rsidR="00307781" w:rsidRDefault="00743576">
      <w:pPr>
        <w:spacing w:after="480" w:line="276" w:lineRule="auto"/>
        <w:rPr>
          <w:rFonts w:eastAsia="Times New Roman"/>
          <w:szCs w:val="20"/>
        </w:rPr>
      </w:pPr>
      <w:r>
        <w:rPr>
          <w:rFonts w:eastAsia="Times New Roman"/>
          <w:szCs w:val="20"/>
        </w:rPr>
        <w:t>Ein Titeldatensatz für diese Publikation ist bei der Deut</w:t>
      </w:r>
      <w:r>
        <w:rPr>
          <w:rFonts w:eastAsia="Times New Roman"/>
          <w:szCs w:val="20"/>
        </w:rPr>
        <w:softHyphen/>
        <w:t>schen Nationalbibliothek erhältlich.</w:t>
      </w:r>
    </w:p>
    <w:p w:rsidR="00307781" w:rsidRDefault="00307781">
      <w:pPr>
        <w:spacing w:after="480" w:line="276" w:lineRule="auto"/>
        <w:rPr>
          <w:rFonts w:eastAsia="Times New Roman"/>
          <w:szCs w:val="20"/>
        </w:rPr>
      </w:pPr>
    </w:p>
    <w:p w:rsidR="00307781" w:rsidRDefault="00743576">
      <w:pPr>
        <w:spacing w:after="480" w:line="276" w:lineRule="auto"/>
        <w:rPr>
          <w:rFonts w:eastAsia="Times New Roman"/>
          <w:szCs w:val="20"/>
        </w:rPr>
      </w:pPr>
      <w:r>
        <w:rPr>
          <w:rFonts w:eastAsia="Times New Roman"/>
          <w:szCs w:val="20"/>
        </w:rPr>
        <w:t>Erstauflage</w:t>
      </w:r>
    </w:p>
    <w:p w:rsidR="00307781" w:rsidRDefault="00307781">
      <w:pPr>
        <w:spacing w:after="480" w:line="276" w:lineRule="auto"/>
        <w:rPr>
          <w:rFonts w:eastAsia="Times New Roman"/>
          <w:szCs w:val="20"/>
        </w:rPr>
      </w:pPr>
    </w:p>
    <w:p w:rsidR="00307781" w:rsidRDefault="00743576">
      <w:pPr>
        <w:spacing w:after="480" w:line="276" w:lineRule="auto"/>
        <w:rPr>
          <w:rFonts w:eastAsia="Times New Roman"/>
          <w:szCs w:val="20"/>
        </w:rPr>
      </w:pPr>
      <w:r>
        <w:rPr>
          <w:rFonts w:eastAsia="Times New Roman"/>
          <w:szCs w:val="20"/>
        </w:rPr>
        <w:t>ISBN ???-?-??????-??-?</w:t>
      </w:r>
    </w:p>
    <w:p w:rsidR="00307781" w:rsidRDefault="00743576">
      <w:pPr>
        <w:spacing w:after="480" w:line="276" w:lineRule="auto"/>
        <w:rPr>
          <w:rFonts w:eastAsia="Times New Roman"/>
          <w:b/>
          <w:szCs w:val="20"/>
        </w:rPr>
      </w:pPr>
      <w:r>
        <w:rPr>
          <w:rFonts w:eastAsia="Times New Roman"/>
          <w:b/>
          <w:szCs w:val="20"/>
        </w:rPr>
        <w:lastRenderedPageBreak/>
        <w:t>Inhaltsverzeichnis</w:t>
      </w:r>
    </w:p>
    <w:p w:rsidR="00307781" w:rsidRDefault="00307781">
      <w:pPr>
        <w:spacing w:after="480" w:line="276" w:lineRule="auto"/>
        <w:rPr>
          <w:rFonts w:eastAsia="Times New Roman"/>
          <w:szCs w:val="20"/>
        </w:rPr>
      </w:pPr>
    </w:p>
    <w:p w:rsidR="00307781" w:rsidRDefault="00743576">
      <w:pPr>
        <w:spacing w:after="480" w:line="276" w:lineRule="auto"/>
        <w:rPr>
          <w:rFonts w:eastAsia="Times New Roman"/>
          <w:szCs w:val="20"/>
        </w:rPr>
      </w:pPr>
      <w:r>
        <w:rPr>
          <w:rFonts w:eastAsia="Times New Roman"/>
          <w:szCs w:val="20"/>
        </w:rPr>
        <w:t>Vorwort und Dank…………………………………</w:t>
      </w:r>
      <w:r w:rsidR="00FF7F7D">
        <w:rPr>
          <w:rFonts w:eastAsia="Times New Roman"/>
          <w:szCs w:val="20"/>
        </w:rPr>
        <w:t xml:space="preserve">……… </w:t>
      </w:r>
      <w:r>
        <w:rPr>
          <w:rFonts w:eastAsia="Times New Roman"/>
          <w:szCs w:val="20"/>
        </w:rPr>
        <w:t>5</w:t>
      </w:r>
    </w:p>
    <w:p w:rsidR="00307781" w:rsidRDefault="00743576">
      <w:pPr>
        <w:spacing w:after="480" w:line="276" w:lineRule="auto"/>
        <w:rPr>
          <w:rFonts w:eastAsia="Times New Roman"/>
          <w:szCs w:val="20"/>
        </w:rPr>
      </w:pPr>
      <w:r>
        <w:rPr>
          <w:rFonts w:eastAsia="Times New Roman"/>
          <w:szCs w:val="20"/>
        </w:rPr>
        <w:t>1. Stradas akademischer Umkreis in Rom …………</w:t>
      </w:r>
      <w:r w:rsidR="00FF7F7D">
        <w:rPr>
          <w:rFonts w:eastAsia="Times New Roman"/>
          <w:szCs w:val="20"/>
        </w:rPr>
        <w:t>………</w:t>
      </w:r>
      <w:r>
        <w:rPr>
          <w:rFonts w:eastAsia="Times New Roman"/>
          <w:szCs w:val="20"/>
        </w:rPr>
        <w:t>7</w:t>
      </w:r>
    </w:p>
    <w:p w:rsidR="00307781" w:rsidRDefault="00743576">
      <w:pPr>
        <w:spacing w:after="480" w:line="276" w:lineRule="auto"/>
        <w:rPr>
          <w:rFonts w:eastAsia="Times New Roman"/>
          <w:szCs w:val="20"/>
        </w:rPr>
      </w:pPr>
      <w:r>
        <w:rPr>
          <w:rFonts w:eastAsia="Times New Roman"/>
          <w:szCs w:val="20"/>
        </w:rPr>
        <w:t xml:space="preserve">2. Stradas </w:t>
      </w:r>
      <w:r>
        <w:rPr>
          <w:rFonts w:eastAsia="Times New Roman"/>
          <w:i/>
          <w:szCs w:val="20"/>
        </w:rPr>
        <w:t>Magnum ac Novum Opus</w:t>
      </w:r>
      <w:r>
        <w:rPr>
          <w:rFonts w:eastAsia="Times New Roman"/>
          <w:szCs w:val="20"/>
        </w:rPr>
        <w:t>………………</w:t>
      </w:r>
      <w:r w:rsidR="00FF7F7D">
        <w:rPr>
          <w:rFonts w:eastAsia="Times New Roman"/>
          <w:szCs w:val="20"/>
        </w:rPr>
        <w:t>………</w:t>
      </w:r>
      <w:r>
        <w:rPr>
          <w:rFonts w:eastAsia="Times New Roman"/>
          <w:szCs w:val="20"/>
        </w:rPr>
        <w:t>18</w:t>
      </w:r>
    </w:p>
    <w:p w:rsidR="00307781" w:rsidRDefault="00743576">
      <w:pPr>
        <w:spacing w:after="480" w:line="276" w:lineRule="auto"/>
        <w:rPr>
          <w:rFonts w:eastAsia="Times New Roman"/>
          <w:szCs w:val="20"/>
        </w:rPr>
      </w:pPr>
      <w:r>
        <w:rPr>
          <w:rFonts w:eastAsia="Times New Roman"/>
          <w:szCs w:val="20"/>
        </w:rPr>
        <w:t>2.1 Die Wasserzeichen der Münzzeichnungen ……</w:t>
      </w:r>
      <w:r w:rsidR="00FF7F7D">
        <w:rPr>
          <w:rFonts w:eastAsia="Times New Roman"/>
          <w:szCs w:val="20"/>
        </w:rPr>
        <w:t>………</w:t>
      </w:r>
      <w:r>
        <w:rPr>
          <w:rFonts w:eastAsia="Times New Roman"/>
          <w:szCs w:val="20"/>
        </w:rPr>
        <w:t>21</w:t>
      </w:r>
    </w:p>
    <w:p w:rsidR="00307781" w:rsidRDefault="00743576">
      <w:pPr>
        <w:spacing w:after="480" w:line="276" w:lineRule="auto"/>
        <w:rPr>
          <w:rFonts w:eastAsia="Times New Roman"/>
          <w:szCs w:val="20"/>
        </w:rPr>
      </w:pPr>
      <w:r>
        <w:rPr>
          <w:rFonts w:eastAsia="Times New Roman"/>
          <w:szCs w:val="20"/>
        </w:rPr>
        <w:t>2.2 Die Zeichnerhände……………………………</w:t>
      </w:r>
      <w:r w:rsidR="00FF7F7D">
        <w:rPr>
          <w:rFonts w:eastAsia="Times New Roman"/>
          <w:szCs w:val="20"/>
        </w:rPr>
        <w:t xml:space="preserve">……… </w:t>
      </w:r>
      <w:r>
        <w:rPr>
          <w:rFonts w:eastAsia="Times New Roman"/>
          <w:szCs w:val="20"/>
        </w:rPr>
        <w:t>23</w:t>
      </w:r>
    </w:p>
    <w:p w:rsidR="00307781" w:rsidRDefault="00743576">
      <w:pPr>
        <w:spacing w:after="480" w:line="276" w:lineRule="auto"/>
        <w:rPr>
          <w:rFonts w:eastAsia="Times New Roman"/>
          <w:szCs w:val="20"/>
        </w:rPr>
      </w:pPr>
      <w:r>
        <w:rPr>
          <w:rFonts w:eastAsia="Times New Roman"/>
          <w:szCs w:val="20"/>
        </w:rPr>
        <w:t>3. Ausgewählte Architekturdarstellungen…………</w:t>
      </w:r>
      <w:r w:rsidR="00FF7F7D">
        <w:rPr>
          <w:rFonts w:eastAsia="Times New Roman"/>
          <w:szCs w:val="20"/>
        </w:rPr>
        <w:t xml:space="preserve">……     </w:t>
      </w:r>
      <w:r>
        <w:rPr>
          <w:rFonts w:eastAsia="Times New Roman"/>
          <w:szCs w:val="20"/>
        </w:rPr>
        <w:t>25</w:t>
      </w:r>
    </w:p>
    <w:p w:rsidR="00307781" w:rsidRDefault="00743576">
      <w:pPr>
        <w:spacing w:after="480" w:line="276" w:lineRule="auto"/>
        <w:rPr>
          <w:rFonts w:eastAsia="Times New Roman"/>
          <w:szCs w:val="20"/>
        </w:rPr>
      </w:pPr>
      <w:r>
        <w:rPr>
          <w:rFonts w:eastAsia="Times New Roman"/>
          <w:szCs w:val="20"/>
        </w:rPr>
        <w:t>3.1 Curia Iulia auf dem Forum Romanum…………</w:t>
      </w:r>
      <w:r w:rsidR="00FF7F7D">
        <w:rPr>
          <w:rFonts w:eastAsia="Times New Roman"/>
          <w:szCs w:val="20"/>
        </w:rPr>
        <w:t>………</w:t>
      </w:r>
      <w:r>
        <w:rPr>
          <w:rFonts w:eastAsia="Times New Roman"/>
          <w:szCs w:val="20"/>
        </w:rPr>
        <w:t>28</w:t>
      </w:r>
    </w:p>
    <w:p w:rsidR="00307781" w:rsidRDefault="00743576">
      <w:pPr>
        <w:spacing w:after="480" w:line="276" w:lineRule="auto"/>
        <w:rPr>
          <w:rFonts w:eastAsia="Times New Roman"/>
          <w:szCs w:val="20"/>
        </w:rPr>
      </w:pPr>
      <w:r>
        <w:rPr>
          <w:rFonts w:eastAsia="Times New Roman"/>
          <w:szCs w:val="20"/>
        </w:rPr>
        <w:t>3.2 Concordia-Tempel auf dem Forum Romanum…</w:t>
      </w:r>
      <w:r w:rsidR="00FF7F7D">
        <w:rPr>
          <w:rFonts w:eastAsia="Times New Roman"/>
          <w:szCs w:val="20"/>
        </w:rPr>
        <w:t xml:space="preserve">……  </w:t>
      </w:r>
      <w:r>
        <w:rPr>
          <w:rFonts w:eastAsia="Times New Roman"/>
          <w:szCs w:val="20"/>
        </w:rPr>
        <w:t>35</w:t>
      </w:r>
    </w:p>
    <w:p w:rsidR="00307781" w:rsidRDefault="00743576">
      <w:pPr>
        <w:spacing w:after="480" w:line="276" w:lineRule="auto"/>
        <w:rPr>
          <w:rFonts w:eastAsia="Times New Roman"/>
          <w:szCs w:val="20"/>
        </w:rPr>
      </w:pPr>
      <w:r>
        <w:rPr>
          <w:rFonts w:eastAsia="Times New Roman"/>
          <w:szCs w:val="20"/>
        </w:rPr>
        <w:t>3.3 Caesar-Tempel auf dem Forum Romanum……</w:t>
      </w:r>
      <w:r w:rsidR="00FF7F7D">
        <w:rPr>
          <w:rFonts w:eastAsia="Times New Roman"/>
          <w:szCs w:val="20"/>
        </w:rPr>
        <w:t>………</w:t>
      </w:r>
      <w:r>
        <w:rPr>
          <w:rFonts w:eastAsia="Times New Roman"/>
          <w:szCs w:val="20"/>
        </w:rPr>
        <w:t>39</w:t>
      </w:r>
    </w:p>
    <w:p w:rsidR="00307781" w:rsidRDefault="00743576">
      <w:pPr>
        <w:spacing w:after="480" w:line="276" w:lineRule="auto"/>
        <w:rPr>
          <w:rFonts w:eastAsia="Times New Roman"/>
          <w:szCs w:val="20"/>
        </w:rPr>
      </w:pPr>
      <w:r>
        <w:rPr>
          <w:rFonts w:eastAsia="Times New Roman"/>
          <w:szCs w:val="20"/>
        </w:rPr>
        <w:t>3.4 Janus-Tempel…………………………………</w:t>
      </w:r>
      <w:r w:rsidR="00FF7F7D">
        <w:rPr>
          <w:rFonts w:eastAsia="Times New Roman"/>
          <w:szCs w:val="20"/>
        </w:rPr>
        <w:t xml:space="preserve">……… </w:t>
      </w:r>
      <w:r>
        <w:rPr>
          <w:rFonts w:eastAsia="Times New Roman"/>
          <w:szCs w:val="20"/>
        </w:rPr>
        <w:t>46</w:t>
      </w:r>
    </w:p>
    <w:p w:rsidR="00307781" w:rsidRDefault="00743576">
      <w:pPr>
        <w:spacing w:after="480" w:line="276" w:lineRule="auto"/>
        <w:rPr>
          <w:rFonts w:eastAsia="Times New Roman"/>
          <w:szCs w:val="20"/>
        </w:rPr>
      </w:pPr>
      <w:r>
        <w:rPr>
          <w:rFonts w:eastAsia="Times New Roman"/>
          <w:szCs w:val="20"/>
        </w:rPr>
        <w:t>3.6 Kolosseum……………………………………</w:t>
      </w:r>
      <w:r w:rsidR="00FF7F7D">
        <w:rPr>
          <w:rFonts w:eastAsia="Times New Roman"/>
          <w:szCs w:val="20"/>
        </w:rPr>
        <w:t xml:space="preserve">……… </w:t>
      </w:r>
      <w:r>
        <w:rPr>
          <w:rFonts w:eastAsia="Times New Roman"/>
          <w:szCs w:val="20"/>
        </w:rPr>
        <w:t>49</w:t>
      </w:r>
    </w:p>
    <w:p w:rsidR="00307781" w:rsidRDefault="00743576">
      <w:pPr>
        <w:spacing w:after="480" w:line="276" w:lineRule="auto"/>
        <w:rPr>
          <w:rFonts w:eastAsia="Times New Roman"/>
          <w:szCs w:val="20"/>
        </w:rPr>
      </w:pPr>
      <w:r>
        <w:rPr>
          <w:rFonts w:eastAsia="Times New Roman"/>
          <w:szCs w:val="20"/>
        </w:rPr>
        <w:t>3.7 Pantheon………………………………………</w:t>
      </w:r>
      <w:r w:rsidR="00FF7F7D">
        <w:rPr>
          <w:rFonts w:eastAsia="Times New Roman"/>
          <w:szCs w:val="20"/>
        </w:rPr>
        <w:t>………</w:t>
      </w:r>
      <w:r>
        <w:rPr>
          <w:rFonts w:eastAsia="Times New Roman"/>
          <w:szCs w:val="20"/>
        </w:rPr>
        <w:t>51</w:t>
      </w:r>
    </w:p>
    <w:p w:rsidR="00307781" w:rsidRDefault="00743576">
      <w:pPr>
        <w:spacing w:after="480" w:line="276" w:lineRule="auto"/>
      </w:pPr>
      <w:r>
        <w:rPr>
          <w:rFonts w:eastAsia="Times New Roman"/>
          <w:szCs w:val="20"/>
        </w:rPr>
        <w:t>3.8 Trajans-Forum………………………………</w:t>
      </w:r>
      <w:r w:rsidR="00FF7F7D">
        <w:rPr>
          <w:rFonts w:eastAsia="Times New Roman"/>
          <w:szCs w:val="20"/>
        </w:rPr>
        <w:t xml:space="preserve">………  </w:t>
      </w:r>
      <w:r>
        <w:rPr>
          <w:rFonts w:eastAsia="Times New Roman"/>
          <w:szCs w:val="20"/>
        </w:rPr>
        <w:t>53</w:t>
      </w:r>
    </w:p>
    <w:p w:rsidR="00307781" w:rsidRDefault="00743576">
      <w:pPr>
        <w:spacing w:after="480" w:line="276" w:lineRule="auto"/>
      </w:pPr>
      <w:r>
        <w:rPr>
          <w:rFonts w:eastAsia="Times New Roman"/>
          <w:szCs w:val="20"/>
        </w:rPr>
        <w:t>3.8.1 Der Circus Maximus als Trajans-Forums</w:t>
      </w:r>
    </w:p>
    <w:p w:rsidR="00307781" w:rsidRDefault="00743576">
      <w:pPr>
        <w:spacing w:after="480" w:line="276" w:lineRule="auto"/>
      </w:pPr>
      <w:r>
        <w:rPr>
          <w:rFonts w:eastAsia="Times New Roman"/>
          <w:szCs w:val="20"/>
        </w:rPr>
        <w:t>3.8.2 Eingangsportal des Trajans-Forums</w:t>
      </w:r>
    </w:p>
    <w:p w:rsidR="00307781" w:rsidRDefault="00743576">
      <w:pPr>
        <w:spacing w:after="480" w:line="276" w:lineRule="auto"/>
      </w:pPr>
      <w:r>
        <w:rPr>
          <w:rFonts w:eastAsia="Times New Roman"/>
          <w:szCs w:val="20"/>
        </w:rPr>
        <w:t>3.8.3 Basilica Ulpia</w:t>
      </w:r>
    </w:p>
    <w:p w:rsidR="00307781" w:rsidRDefault="00743576">
      <w:pPr>
        <w:spacing w:after="480" w:line="276" w:lineRule="auto"/>
      </w:pPr>
      <w:r>
        <w:rPr>
          <w:rFonts w:eastAsia="Times New Roman"/>
          <w:szCs w:val="20"/>
        </w:rPr>
        <w:t>4. Rom in Gotha</w:t>
      </w:r>
    </w:p>
    <w:p w:rsidR="00307781" w:rsidRDefault="00743576">
      <w:pPr>
        <w:spacing w:after="480" w:line="276" w:lineRule="auto"/>
      </w:pPr>
      <w:r>
        <w:rPr>
          <w:rFonts w:eastAsia="Times New Roman"/>
          <w:szCs w:val="20"/>
        </w:rPr>
        <w:t>5. Ausblick</w:t>
      </w:r>
    </w:p>
    <w:p w:rsidR="00307781" w:rsidRDefault="00743576">
      <w:pPr>
        <w:spacing w:after="480" w:line="276" w:lineRule="auto"/>
      </w:pPr>
      <w:r>
        <w:rPr>
          <w:rFonts w:eastAsia="Times New Roman"/>
          <w:szCs w:val="20"/>
        </w:rPr>
        <w:t>Anmerkungen</w:t>
      </w:r>
    </w:p>
    <w:p w:rsidR="00307781" w:rsidRDefault="00743576">
      <w:pPr>
        <w:spacing w:after="480" w:line="276" w:lineRule="auto"/>
      </w:pPr>
      <w:r>
        <w:rPr>
          <w:rFonts w:eastAsia="Times New Roman"/>
          <w:szCs w:val="20"/>
        </w:rPr>
        <w:t>Literaturverzeichnis</w:t>
      </w:r>
    </w:p>
    <w:p w:rsidR="00307781" w:rsidRDefault="00743576">
      <w:pPr>
        <w:spacing w:after="480" w:line="276" w:lineRule="auto"/>
      </w:pPr>
      <w:r>
        <w:rPr>
          <w:rFonts w:eastAsia="Times New Roman"/>
          <w:szCs w:val="20"/>
        </w:rPr>
        <w:t>Abbildungsnachweis</w:t>
      </w:r>
    </w:p>
    <w:p w:rsidR="00307781" w:rsidRDefault="00307781">
      <w:pPr>
        <w:spacing w:after="480" w:line="276" w:lineRule="auto"/>
        <w:rPr>
          <w:rFonts w:eastAsia="Times New Roman"/>
          <w:szCs w:val="20"/>
        </w:rPr>
      </w:pPr>
    </w:p>
    <w:p w:rsidR="00307781" w:rsidRDefault="00307781">
      <w:pPr>
        <w:spacing w:after="480" w:line="276" w:lineRule="auto"/>
        <w:rPr>
          <w:rFonts w:eastAsia="Times New Roman"/>
          <w:b/>
          <w:szCs w:val="20"/>
        </w:rPr>
      </w:pPr>
    </w:p>
    <w:p w:rsidR="00307781" w:rsidRDefault="00307781">
      <w:pPr>
        <w:spacing w:after="480" w:line="276" w:lineRule="auto"/>
        <w:rPr>
          <w:rFonts w:eastAsia="Times New Roman"/>
          <w:b/>
          <w:szCs w:val="20"/>
        </w:rPr>
      </w:pPr>
    </w:p>
    <w:p w:rsidR="00307781" w:rsidRDefault="00307781">
      <w:pPr>
        <w:spacing w:after="480" w:line="276" w:lineRule="auto"/>
        <w:rPr>
          <w:rFonts w:eastAsia="Times New Roman"/>
          <w:b/>
          <w:szCs w:val="20"/>
        </w:rPr>
      </w:pPr>
    </w:p>
    <w:p w:rsidR="00307781" w:rsidRDefault="00307781">
      <w:pPr>
        <w:spacing w:after="480" w:line="276" w:lineRule="auto"/>
        <w:rPr>
          <w:rFonts w:eastAsia="Times New Roman"/>
          <w:b/>
          <w:szCs w:val="20"/>
        </w:rPr>
      </w:pPr>
    </w:p>
    <w:p w:rsidR="00307781" w:rsidRDefault="00307781">
      <w:pPr>
        <w:spacing w:after="480" w:line="276" w:lineRule="auto"/>
        <w:rPr>
          <w:rFonts w:eastAsia="Times New Roman"/>
          <w:b/>
          <w:szCs w:val="20"/>
        </w:rPr>
      </w:pPr>
    </w:p>
    <w:p w:rsidR="00307781" w:rsidRDefault="00307781">
      <w:pPr>
        <w:spacing w:after="480" w:line="276" w:lineRule="auto"/>
        <w:rPr>
          <w:rFonts w:eastAsia="Times New Roman"/>
          <w:b/>
          <w:szCs w:val="20"/>
        </w:rPr>
      </w:pPr>
    </w:p>
    <w:p w:rsidR="00307781" w:rsidRDefault="00307781">
      <w:pPr>
        <w:spacing w:after="480" w:line="276" w:lineRule="auto"/>
        <w:rPr>
          <w:rFonts w:eastAsia="Times New Roman"/>
          <w:b/>
          <w:szCs w:val="20"/>
        </w:rPr>
      </w:pPr>
    </w:p>
    <w:p w:rsidR="00307781" w:rsidRDefault="00307781">
      <w:pPr>
        <w:spacing w:after="480" w:line="276" w:lineRule="auto"/>
        <w:rPr>
          <w:rFonts w:eastAsia="Times New Roman"/>
          <w:b/>
          <w:szCs w:val="20"/>
        </w:rPr>
      </w:pPr>
    </w:p>
    <w:p w:rsidR="00307781" w:rsidRDefault="00307781">
      <w:pPr>
        <w:spacing w:after="480" w:line="276" w:lineRule="auto"/>
        <w:rPr>
          <w:rFonts w:eastAsia="Times New Roman"/>
          <w:b/>
          <w:szCs w:val="20"/>
        </w:rPr>
      </w:pPr>
    </w:p>
    <w:p w:rsidR="00D0778F" w:rsidRDefault="00743576">
      <w:pPr>
        <w:pStyle w:val="noindent"/>
        <w:spacing w:line="276" w:lineRule="auto"/>
        <w:ind w:right="240"/>
        <w:jc w:val="center"/>
        <w:rPr>
          <w:sz w:val="18"/>
          <w:szCs w:val="18"/>
        </w:rPr>
      </w:pPr>
      <w:r>
        <w:rPr>
          <w:noProof/>
          <w:sz w:val="18"/>
          <w:szCs w:val="18"/>
        </w:rPr>
        <w:lastRenderedPageBreak/>
        <w:drawing>
          <wp:anchor distT="0" distB="0" distL="0" distR="0" simplePos="0" relativeHeight="2" behindDoc="0" locked="0" layoutInCell="1" allowOverlap="1">
            <wp:simplePos x="0" y="0"/>
            <wp:positionH relativeFrom="column">
              <wp:align>center</wp:align>
            </wp:positionH>
            <wp:positionV relativeFrom="paragraph">
              <wp:posOffset>635</wp:posOffset>
            </wp:positionV>
            <wp:extent cx="3942080" cy="5080635"/>
            <wp:effectExtent l="0" t="0" r="0" b="0"/>
            <wp:wrapSquare wrapText="largest"/>
            <wp:docPr id="1"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pic:cNvPicPr>
                      <a:picLocks noChangeAspect="1" noChangeArrowheads="1"/>
                    </pic:cNvPicPr>
                  </pic:nvPicPr>
                  <pic:blipFill>
                    <a:blip r:embed="rId6"/>
                    <a:stretch>
                      <a:fillRect/>
                    </a:stretch>
                  </pic:blipFill>
                  <pic:spPr bwMode="auto">
                    <a:xfrm>
                      <a:off x="0" y="0"/>
                      <a:ext cx="3942080" cy="5080635"/>
                    </a:xfrm>
                    <a:prstGeom prst="rect">
                      <a:avLst/>
                    </a:prstGeom>
                  </pic:spPr>
                </pic:pic>
              </a:graphicData>
            </a:graphic>
          </wp:anchor>
        </w:drawing>
      </w:r>
    </w:p>
    <w:p w:rsidR="00307781" w:rsidRDefault="00D0778F">
      <w:pPr>
        <w:pStyle w:val="noindent"/>
        <w:spacing w:line="276" w:lineRule="auto"/>
        <w:ind w:right="240"/>
        <w:jc w:val="center"/>
      </w:pPr>
      <w:r>
        <w:rPr>
          <w:sz w:val="18"/>
          <w:szCs w:val="18"/>
        </w:rPr>
        <w:t>Abb</w:t>
      </w:r>
      <w:r w:rsidR="00743576">
        <w:rPr>
          <w:sz w:val="18"/>
          <w:szCs w:val="18"/>
        </w:rPr>
        <w:t xml:space="preserve">. 1: Tiziano Vecellio, genannt Tizian: Jacopo Strada </w:t>
      </w:r>
    </w:p>
    <w:p w:rsidR="00307781" w:rsidRDefault="00307781">
      <w:pPr>
        <w:pStyle w:val="noindent"/>
        <w:spacing w:line="276" w:lineRule="auto"/>
        <w:ind w:right="240"/>
        <w:jc w:val="center"/>
        <w:rPr>
          <w:sz w:val="18"/>
          <w:szCs w:val="18"/>
        </w:rPr>
      </w:pPr>
    </w:p>
    <w:p w:rsidR="00307781" w:rsidRDefault="00743576" w:rsidP="00D0778F">
      <w:pPr>
        <w:pStyle w:val="noindent"/>
        <w:spacing w:before="100" w:after="100" w:line="264" w:lineRule="auto"/>
        <w:rPr>
          <w:b/>
        </w:rPr>
      </w:pPr>
      <w:r>
        <w:rPr>
          <w:b/>
        </w:rPr>
        <w:lastRenderedPageBreak/>
        <w:t>Vorwort</w:t>
      </w:r>
    </w:p>
    <w:p w:rsidR="00D0778F" w:rsidRPr="00D0778F" w:rsidRDefault="00D0778F" w:rsidP="00D0778F">
      <w:pPr>
        <w:pStyle w:val="noindent"/>
        <w:spacing w:before="100" w:after="100" w:line="264" w:lineRule="auto"/>
      </w:pPr>
    </w:p>
    <w:p w:rsidR="00307781" w:rsidRDefault="00743576">
      <w:pPr>
        <w:pStyle w:val="noindent"/>
        <w:spacing w:line="276" w:lineRule="auto"/>
      </w:pPr>
      <w:r>
        <w:t xml:space="preserve">Die Forschungsbibliothek Gotha besitzt unter dem Original-titel </w:t>
      </w:r>
      <w:r>
        <w:rPr>
          <w:rStyle w:val="pplri8t-1"/>
        </w:rPr>
        <w:t xml:space="preserve">Magnus ac </w:t>
      </w:r>
      <w:r w:rsidR="00D0778F">
        <w:rPr>
          <w:rStyle w:val="pplri8t-1"/>
        </w:rPr>
        <w:t>N</w:t>
      </w:r>
      <w:r>
        <w:rPr>
          <w:rStyle w:val="pplri8t-1"/>
        </w:rPr>
        <w:t xml:space="preserve">ovum </w:t>
      </w:r>
      <w:r w:rsidR="00D0778F">
        <w:rPr>
          <w:rStyle w:val="pplri8t-1"/>
        </w:rPr>
        <w:t>O</w:t>
      </w:r>
      <w:r>
        <w:rPr>
          <w:rStyle w:val="pplri8t-1"/>
        </w:rPr>
        <w:t xml:space="preserve">pus </w:t>
      </w:r>
      <w:r>
        <w:t>29 von ehemals 30 Bänden mit Zeichnungen Jacopo Stradas und seiner Mitarbeiter, die ca. 10.000 antike römische Münzen und Medaillen darstellen. Diese werden im Rahmen eines DFG-Projekts seit 2015 erstmals durch Dirk Jansen und Volker Heenes bearbeitet, welche mich dankenswerterweise 2014 auf diese Sammlung aufmerksam machten. Schon bald zeigte sich, nicht zuletzt durch Dirk Jansens monumentale Studie über Strada,[1] dass die Zeichnungen in Gotha für meine eigenen Forschun</w:t>
      </w:r>
      <w:r>
        <w:softHyphen/>
        <w:t>gen zu einem sehr umfangreichen Bestand an Architektur</w:t>
      </w:r>
      <w:r>
        <w:softHyphen/>
        <w:t xml:space="preserve">zeichnun-gen aus dem Rom der Renaissance von Bedeutung sein könn-ten. Eine dreimonatiges Stipendium des </w:t>
      </w:r>
      <w:r>
        <w:rPr>
          <w:i/>
        </w:rPr>
        <w:t>Freun</w:t>
      </w:r>
      <w:r>
        <w:rPr>
          <w:i/>
        </w:rPr>
        <w:softHyphen/>
        <w:t xml:space="preserve">deskreises der Forschungsbibliothek Gotha e.V. </w:t>
      </w:r>
      <w:r>
        <w:t xml:space="preserve">erlaubte mir von November 2016 bis Januar 2017, in Gotha die Zeichnungen, die noch anonymen Zeichnerhände und die Wasserzeichen im </w:t>
      </w:r>
      <w:r>
        <w:rPr>
          <w:rStyle w:val="pplri8t-1"/>
        </w:rPr>
        <w:t>Magnum ac Novum Opus</w:t>
      </w:r>
      <w:r>
        <w:t xml:space="preserve"> eingehender zu studieren und vor allem mit den genannten Kollegen inten</w:t>
      </w:r>
      <w:r>
        <w:softHyphen/>
        <w:t xml:space="preserve">siv zu besprechen. </w:t>
      </w:r>
    </w:p>
    <w:p w:rsidR="00307781" w:rsidRDefault="00743576">
      <w:pPr>
        <w:pStyle w:val="noindent"/>
        <w:spacing w:line="276" w:lineRule="auto"/>
        <w:ind w:firstLine="284"/>
      </w:pPr>
      <w:r>
        <w:t>Diese</w:t>
      </w:r>
      <w:r w:rsidR="00D0778F">
        <w:t>r</w:t>
      </w:r>
      <w:r>
        <w:t xml:space="preserve"> kleine </w:t>
      </w:r>
      <w:r w:rsidR="00D0778F">
        <w:t xml:space="preserve">Essay </w:t>
      </w:r>
      <w:r>
        <w:t>stellt erstmals einige der Erkenntnis</w:t>
      </w:r>
      <w:r>
        <w:softHyphen/>
        <w:t>se und Hypothesen vor, die sich aus meinem Gothaer Auf</w:t>
      </w:r>
      <w:r>
        <w:softHyphen/>
        <w:t xml:space="preserve">enthalt und mehreren </w:t>
      </w:r>
      <w:r w:rsidR="00D0778F">
        <w:t>Kurzb</w:t>
      </w:r>
      <w:r>
        <w:t>esuchen dort seither ergeben haben. Allerdings kann die Forschung angesichts des umfangrei</w:t>
      </w:r>
      <w:r>
        <w:softHyphen/>
        <w:t>chen Materials in Gotha und andernorts hiermit noch nicht als ab-geschlossen angesehen werden. Eher versteht die vor</w:t>
      </w:r>
      <w:r>
        <w:softHyphen/>
        <w:t>liegende Arbeit sich als Anregung für weitere Untersuchun</w:t>
      </w:r>
      <w:r>
        <w:softHyphen/>
        <w:t>gen nicht nur zu den reichhaltigen Münzdarstellungen Stra</w:t>
      </w:r>
      <w:r>
        <w:softHyphen/>
        <w:t>das, seinem europaweit gespannten Netzwerk und speziell seinem Auf-enthalt in Rom 1553-1555. Dort stand er in en</w:t>
      </w:r>
      <w:r>
        <w:softHyphen/>
        <w:t>gem Kontakt mit den führenden Wissenschaftlern seiner Zeit und nahm an deren antiquarisch-archäologischen For</w:t>
      </w:r>
      <w:r>
        <w:softHyphen/>
        <w:t>schungen teil, die man möglicherweise als eine der wich</w:t>
      </w:r>
      <w:r>
        <w:softHyphen/>
        <w:t>tigsten Wurzeln</w:t>
      </w:r>
      <w:r w:rsidR="00D0778F">
        <w:t xml:space="preserve"> </w:t>
      </w:r>
      <w:r>
        <w:lastRenderedPageBreak/>
        <w:t>wissenschaftlicher Archäologie und ande</w:t>
      </w:r>
      <w:r>
        <w:softHyphen/>
        <w:t xml:space="preserve">rer, verwandter historisch arbeitender Disziplinen </w:t>
      </w:r>
      <w:r w:rsidR="00D0778F">
        <w:t xml:space="preserve">wie Epigraphik, Numismatik, Kunst- und Architektur-, Kultur- und Religionsgeschichte (nicht nur) der römischen Antike, Architekturtheorie, Urbanistik u.a.m. </w:t>
      </w:r>
      <w:r>
        <w:t>ansehen kann.</w:t>
      </w:r>
    </w:p>
    <w:p w:rsidR="00307781" w:rsidRDefault="00743576">
      <w:pPr>
        <w:pStyle w:val="berschrift4"/>
        <w:spacing w:line="276" w:lineRule="auto"/>
        <w:rPr>
          <w:rFonts w:eastAsia="Times New Roman"/>
        </w:rPr>
      </w:pPr>
      <w:r>
        <w:rPr>
          <w:rFonts w:eastAsia="Times New Roman"/>
        </w:rPr>
        <w:t>Dank</w:t>
      </w:r>
    </w:p>
    <w:p w:rsidR="00307781" w:rsidRDefault="00743576">
      <w:pPr>
        <w:pStyle w:val="noindent"/>
        <w:spacing w:line="276" w:lineRule="auto"/>
      </w:pPr>
      <w:r>
        <w:t>Danken möchte ich insbesondere Dirk Jan</w:t>
      </w:r>
      <w:r>
        <w:softHyphen/>
        <w:t xml:space="preserve">sen und Volker Heenes vom DFG-Projekt zu Stradas Gothaer </w:t>
      </w:r>
      <w:r>
        <w:rPr>
          <w:rStyle w:val="pplri8t-1"/>
        </w:rPr>
        <w:t>Ma</w:t>
      </w:r>
      <w:r>
        <w:rPr>
          <w:rStyle w:val="pplri8t-1"/>
        </w:rPr>
        <w:softHyphen/>
        <w:t>gnum ac Novum</w:t>
      </w:r>
      <w:r>
        <w:t xml:space="preserve"> </w:t>
      </w:r>
      <w:r>
        <w:rPr>
          <w:rStyle w:val="pplri8t-1"/>
        </w:rPr>
        <w:t xml:space="preserve">Opus </w:t>
      </w:r>
      <w:r>
        <w:t xml:space="preserve">sowie den Mitarbeiterinnen und Mitarbeitern der Forschungsbibliothek, die unermüdlich die kostbaren Bände und gewünschte Literatur umgehend bereitstellten. </w:t>
      </w:r>
    </w:p>
    <w:p w:rsidR="00307781" w:rsidRDefault="00743576">
      <w:pPr>
        <w:pStyle w:val="indent"/>
        <w:spacing w:line="276" w:lineRule="auto"/>
        <w:ind w:firstLine="0"/>
      </w:pPr>
      <w:r>
        <w:t xml:space="preserve">Den Mitgliedern des </w:t>
      </w:r>
      <w:r>
        <w:rPr>
          <w:rStyle w:val="pplri8t-1"/>
        </w:rPr>
        <w:t>Freundeskreises der Forschungsbibliothek</w:t>
      </w:r>
      <w:r>
        <w:t xml:space="preserve"> </w:t>
      </w:r>
      <w:r>
        <w:rPr>
          <w:rStyle w:val="pplri8t-1"/>
        </w:rPr>
        <w:t>Gotha</w:t>
      </w:r>
      <w:r w:rsidR="00D0778F">
        <w:rPr>
          <w:rStyle w:val="pplri8t-1"/>
        </w:rPr>
        <w:t xml:space="preserve"> e.V.</w:t>
      </w:r>
      <w:r>
        <w:rPr>
          <w:rStyle w:val="pplri8t-1"/>
        </w:rPr>
        <w:t xml:space="preserve"> </w:t>
      </w:r>
      <w:r>
        <w:t xml:space="preserve">und, stellvertretend, seinem damaligen Vor-sitzenden Wolfgang Steguweit sei diese Arbeit mit herzlich-stem Dank </w:t>
      </w:r>
      <w:r w:rsidR="00D0778F">
        <w:t xml:space="preserve">für die großzügige Unterstützung und die vielen Anregungen </w:t>
      </w:r>
      <w:r>
        <w:t xml:space="preserve">gewidmet, da mir diese viele Perspektiven eröff-nenden und in Zukunft hoffentlich noch weiter führenden Forschungen ohne </w:t>
      </w:r>
      <w:r w:rsidR="00D0778F">
        <w:t xml:space="preserve">diese </w:t>
      </w:r>
      <w:r>
        <w:t>nicht möglich gewe</w:t>
      </w:r>
      <w:r>
        <w:softHyphen/>
        <w:t xml:space="preserve">sen wären. </w:t>
      </w:r>
    </w:p>
    <w:p w:rsidR="00307781" w:rsidRDefault="00743576">
      <w:pPr>
        <w:pStyle w:val="indent"/>
        <w:spacing w:line="276" w:lineRule="auto"/>
        <w:ind w:firstLine="0"/>
      </w:pPr>
      <w:r>
        <w:t> </w:t>
      </w:r>
      <w:r>
        <w:br/>
        <w:t>Bern, im Frühjahr 2020 </w:t>
      </w:r>
      <w:r>
        <w:tab/>
      </w:r>
      <w:r>
        <w:tab/>
      </w:r>
      <w:r>
        <w:tab/>
        <w:t xml:space="preserve"> </w:t>
      </w:r>
      <w:r>
        <w:rPr>
          <w:rStyle w:val="pplri8t-1"/>
        </w:rPr>
        <w:t>Bernd Kulawik</w:t>
      </w:r>
      <w:r>
        <w:t xml:space="preserve"> </w:t>
      </w:r>
    </w:p>
    <w:p w:rsidR="00307781" w:rsidRDefault="00307781">
      <w:pPr>
        <w:pStyle w:val="indent"/>
        <w:spacing w:line="276" w:lineRule="auto"/>
        <w:ind w:firstLine="0"/>
      </w:pPr>
    </w:p>
    <w:p w:rsidR="00307781" w:rsidRDefault="00307781">
      <w:pPr>
        <w:pStyle w:val="indent"/>
        <w:spacing w:line="276" w:lineRule="auto"/>
        <w:ind w:firstLine="0"/>
      </w:pPr>
    </w:p>
    <w:p w:rsidR="00307781" w:rsidRDefault="00307781">
      <w:pPr>
        <w:pStyle w:val="indent"/>
        <w:spacing w:line="276" w:lineRule="auto"/>
        <w:ind w:firstLine="0"/>
      </w:pPr>
    </w:p>
    <w:p w:rsidR="00307781" w:rsidRDefault="00307781">
      <w:pPr>
        <w:pStyle w:val="indent"/>
        <w:spacing w:line="276" w:lineRule="auto"/>
        <w:ind w:firstLine="0"/>
      </w:pPr>
    </w:p>
    <w:p w:rsidR="00307781" w:rsidRDefault="00307781">
      <w:pPr>
        <w:pStyle w:val="indent"/>
        <w:spacing w:line="276" w:lineRule="auto"/>
        <w:ind w:firstLine="0"/>
      </w:pPr>
    </w:p>
    <w:p w:rsidR="00307781" w:rsidRDefault="00307781">
      <w:pPr>
        <w:pStyle w:val="indent"/>
        <w:spacing w:line="276" w:lineRule="auto"/>
        <w:ind w:firstLine="0"/>
      </w:pPr>
    </w:p>
    <w:p w:rsidR="00307781" w:rsidRDefault="00307781">
      <w:pPr>
        <w:pStyle w:val="indent"/>
        <w:spacing w:line="276" w:lineRule="auto"/>
        <w:ind w:firstLine="0"/>
      </w:pPr>
    </w:p>
    <w:p w:rsidR="00307781" w:rsidRDefault="00307781">
      <w:pPr>
        <w:pStyle w:val="indent"/>
        <w:spacing w:line="276" w:lineRule="auto"/>
        <w:ind w:firstLine="0"/>
      </w:pPr>
    </w:p>
    <w:p w:rsidR="00D0778F" w:rsidRDefault="00D0778F">
      <w:pPr>
        <w:pStyle w:val="indent"/>
        <w:spacing w:line="276" w:lineRule="auto"/>
        <w:ind w:firstLine="0"/>
      </w:pPr>
    </w:p>
    <w:p w:rsidR="00307781" w:rsidRDefault="00307781">
      <w:pPr>
        <w:pStyle w:val="indent"/>
        <w:spacing w:line="276" w:lineRule="auto"/>
        <w:ind w:firstLine="0"/>
      </w:pPr>
    </w:p>
    <w:p w:rsidR="00307781" w:rsidRDefault="00743576">
      <w:pPr>
        <w:spacing w:line="276" w:lineRule="auto"/>
        <w:outlineLvl w:val="0"/>
        <w:rPr>
          <w:b/>
        </w:rPr>
      </w:pPr>
      <w:r>
        <w:rPr>
          <w:b/>
        </w:rPr>
        <w:lastRenderedPageBreak/>
        <w:t>1. Stradas akademischer Umkreis in Rom</w:t>
      </w:r>
    </w:p>
    <w:p w:rsidR="00307781" w:rsidRDefault="00307781">
      <w:pPr>
        <w:spacing w:line="276" w:lineRule="auto"/>
      </w:pPr>
    </w:p>
    <w:p w:rsidR="00307781" w:rsidRDefault="00743576">
      <w:pPr>
        <w:spacing w:line="276" w:lineRule="auto"/>
      </w:pPr>
      <w:r>
        <w:t>Jacopo Strada wurde gegen 1508 in Mantua geboren und er</w:t>
      </w:r>
      <w:r>
        <w:softHyphen/>
        <w:t>hielt dort in der Werkstatt des Giulio Romano eine Ausbil-dung zum Goldschmied. Giulio war in Rom der engste Mit</w:t>
      </w:r>
      <w:r>
        <w:softHyphen/>
        <w:t>ar-beiter Raphaels gewesen und hatte sich nicht nur als Ma</w:t>
      </w:r>
      <w:r>
        <w:softHyphen/>
        <w:t xml:space="preserve">ler, sondern auch als Architekt einen Namen gemacht, nicht zuletzt durch den </w:t>
      </w:r>
      <w:r>
        <w:rPr>
          <w:i/>
        </w:rPr>
        <w:t>Palazzo Té</w:t>
      </w:r>
      <w:r>
        <w:t xml:space="preserve"> in Mantua, der als eine Lustschloss vor den Toren der Stadt liegt und hinsichtlich seiner Architektur und umfangreichen Ausstattung als einer der frühen Höhepunkte des Manierismus angesehen wird:  Viele seiner bedeutenden mythologischen Fresken stammen von Giulio.</w:t>
      </w:r>
    </w:p>
    <w:p w:rsidR="00307781" w:rsidRDefault="00743576">
      <w:pPr>
        <w:spacing w:line="276" w:lineRule="auto"/>
        <w:ind w:firstLine="284"/>
      </w:pPr>
      <w:r>
        <w:t>Um 1540 [?] ließ Strada sich in Nürnberg nieder, wo er mit dem Goldschmied Wenzel Jamnitzer zusammenarbeite</w:t>
      </w:r>
      <w:r>
        <w:softHyphen/>
        <w:t>te und u.a. für den Augsburger Bankier Johann (</w:t>
      </w:r>
      <w:r w:rsidR="00F86273">
        <w:t>»</w:t>
      </w:r>
      <w:r>
        <w:t>Hans</w:t>
      </w:r>
      <w:r w:rsidR="00F86273">
        <w:t>«</w:t>
      </w:r>
      <w:r>
        <w:t>) Ja</w:t>
      </w:r>
      <w:r>
        <w:softHyphen/>
        <w:t>kob Fugger als Agent bei der Beschaffung von Büchern, Kunstwerken und Antiquitäten aus Italien tätig wurde. Diese Rolle als Kunsthändler prägt sein Bild in der wissenschaftlichen Öffentlichkeit bis heute, aber die erwähnte umfang</w:t>
      </w:r>
      <w:r>
        <w:softHyphen/>
        <w:t xml:space="preserve">reiche Studie Dirk Jansens hat eindrücklich gezeigt, dass Stradas Aktivitäten eine Vielzahl weiterer Gebiete betrafen: Er betätigte sich selbst systematisch als Sammler, Autor und Herausgeber eigener </w:t>
      </w:r>
      <w:r w:rsidR="00F86273">
        <w:t xml:space="preserve">und fremder </w:t>
      </w:r>
      <w:r>
        <w:t>Bücher.[2]</w:t>
      </w:r>
      <w:hyperlink r:id="rId7" w:anchor="fn1x2" w:history="1">
        <w:r>
          <w:t xml:space="preserve"> Eine umfangreiche Liste in seinem Nachlass führt dutzende weiterer Bücher auf, die </w:t>
        </w:r>
        <w:r w:rsidR="00F86273">
          <w:t xml:space="preserve">er </w:t>
        </w:r>
        <w:r>
          <w:t>im Laufe sei</w:t>
        </w:r>
        <w:r>
          <w:softHyphen/>
          <w:t>nes Lebens noch herausgeben wollte, darunter ein mehrspra</w:t>
        </w:r>
        <w:r>
          <w:softHyphen/>
          <w:t>chiges Lexikon sowie Werke klassischer und kirchlicher Autoren.</w:t>
        </w:r>
      </w:hyperlink>
    </w:p>
    <w:p w:rsidR="00307781" w:rsidRDefault="00743576">
      <w:pPr>
        <w:spacing w:line="276" w:lineRule="auto"/>
        <w:ind w:firstLine="284"/>
      </w:pPr>
      <w:r>
        <w:t>Daneben hinterließ Strada eine in die Zehntausende ge</w:t>
      </w:r>
      <w:r>
        <w:softHyphen/>
        <w:t>hende Zahl unterschiedlichster Zeichnungen sowie viele il</w:t>
      </w:r>
      <w:r>
        <w:softHyphen/>
        <w:t>lustrierte Manuskripte, die in seinem Auftrag und nach prä</w:t>
      </w:r>
      <w:r>
        <w:softHyphen/>
        <w:t xml:space="preserve">zisen Vorgaben durch jüngere Künstler erstellt wurden und neben antiken Münzen auch Statuen, </w:t>
      </w:r>
      <w:r w:rsidR="00F86273">
        <w:t xml:space="preserve">Reliefs, </w:t>
      </w:r>
      <w:r>
        <w:t>Büsten, Vasen</w:t>
      </w:r>
      <w:r w:rsidR="00F86273">
        <w:t xml:space="preserve">, </w:t>
      </w:r>
      <w:r>
        <w:t>Ge</w:t>
      </w:r>
      <w:r>
        <w:softHyphen/>
        <w:t>fäße, Helme, Kostüme</w:t>
      </w:r>
      <w:r w:rsidR="00F86273">
        <w:t>,</w:t>
      </w:r>
      <w:r>
        <w:t>Festdekorationen u.v.a.m. dar</w:t>
      </w:r>
      <w:r>
        <w:softHyphen/>
      </w:r>
      <w:r>
        <w:lastRenderedPageBreak/>
        <w:t>stellen. Durch diese Vorgaben und die gelegentliche Ver</w:t>
      </w:r>
      <w:r>
        <w:softHyphen/>
        <w:t>wendung von Schablonen bei der Erstellung der Zeichnun</w:t>
      </w:r>
      <w:r>
        <w:softHyphen/>
        <w:t xml:space="preserve">gen lassen sich häufig kaum individuelle Charakteristika </w:t>
      </w:r>
      <w:r w:rsidR="00F86273">
        <w:t xml:space="preserve">der Zeichner </w:t>
      </w:r>
      <w:r>
        <w:t>feststellen, was zumindest zum Teil (wie bspw. bei den Münzzeichnungen) offensichtlich auch beabsichtigt war.</w:t>
      </w:r>
    </w:p>
    <w:p w:rsidR="00307781" w:rsidRDefault="00743576">
      <w:pPr>
        <w:spacing w:line="276" w:lineRule="auto"/>
        <w:ind w:firstLine="284"/>
      </w:pPr>
      <w:r>
        <w:t xml:space="preserve">Darüber hinaus beauftragte </w:t>
      </w:r>
      <w:r w:rsidR="00F86273">
        <w:t xml:space="preserve">Strada </w:t>
      </w:r>
      <w:r>
        <w:t xml:space="preserve">jüngere Künstler mit der vollständigen Dokumentation des </w:t>
      </w:r>
      <w:r>
        <w:rPr>
          <w:i/>
        </w:rPr>
        <w:t>Palazzo Té</w:t>
      </w:r>
      <w:r>
        <w:t xml:space="preserve"> in Mantua</w:t>
      </w:r>
      <w:r w:rsidR="00F86273">
        <w:t>, der Reliefs der Trajans-Säule und d</w:t>
      </w:r>
      <w:r>
        <w:t>er vatikanischen Loggien, die durch Ra</w:t>
      </w:r>
      <w:r>
        <w:softHyphen/>
        <w:t xml:space="preserve">phaels Werkstatt nach den Vorbildern der erst kurz zuvor entdeckten Räume aus Neros </w:t>
      </w:r>
      <w:r>
        <w:rPr>
          <w:i/>
        </w:rPr>
        <w:t xml:space="preserve">Domus Aurea </w:t>
      </w:r>
      <w:r>
        <w:t>mit antikisieren</w:t>
      </w:r>
      <w:r>
        <w:softHyphen/>
        <w:t xml:space="preserve">den Elementen ausgemalt worden waren. In seinem </w:t>
      </w:r>
      <w:r w:rsidR="00F86273">
        <w:t xml:space="preserve">Wiener </w:t>
      </w:r>
      <w:r>
        <w:t xml:space="preserve">Haus, das sich gegenüber dem heutigen Palais Liechtenstein befand und im 19. Jahrhundert für den Bau des Burgtheaters abgerissen wurde, sammelte Strada eine Vielzahl antiker Statuen und Münzen sowie Zeichnungen insbesondere aus dem Raphael-Umkreis. Stradas </w:t>
      </w:r>
      <w:r>
        <w:rPr>
          <w:rStyle w:val="pplri8t-1"/>
        </w:rPr>
        <w:t>Musaeum</w:t>
      </w:r>
      <w:r>
        <w:t>, wie er seine Sammlung vielleicht als einer der ersten überhaupt nannte, zog viele gelehrte Besucher des Wiener Hofes an und dürfte eine der wichtigsten Quellen für derartige Objekte aus der Antike und der Renaissance in heutigen Sammlungen nördlich der Alpen sein.</w:t>
      </w:r>
    </w:p>
    <w:p w:rsidR="00307781" w:rsidRDefault="00743576">
      <w:pPr>
        <w:spacing w:line="276" w:lineRule="auto"/>
        <w:ind w:firstLine="284"/>
      </w:pPr>
      <w:r>
        <w:t>Ab ca. 1550 hielt sich Strada, aus Nürnberg kommend, in Lyon auf und arbeitete dort u.a. mit Guillaume Du Choul zusammen, für dessen Publikationen zur antiken Kulturge</w:t>
      </w:r>
      <w:r>
        <w:softHyphen/>
        <w:t>schichte er zumindest einige Zeichnungen nach antiken Münzen als Vorlagen für die illustrierenden Holzschnitte beisteuerte.[3] Du Choul stützte sich für seine Illustrationen und Erläuterungen maßgeblich auf antike Münzen, und viele der Holzschnitte in seinen Büchern zeigen auffällige Ähn</w:t>
      </w:r>
      <w:r>
        <w:softHyphen/>
        <w:t xml:space="preserve">lichkeiten mit jenen, die Strada zur Illustration seiner ersten eigenständigen Publikation nutzte: Sein ‘Bildnisvitenbuch’ </w:t>
      </w:r>
      <w:r>
        <w:rPr>
          <w:rStyle w:val="pplri8t-1"/>
        </w:rPr>
        <w:t>Epito</w:t>
      </w:r>
      <w:r w:rsidR="00F86273">
        <w:rPr>
          <w:rStyle w:val="pplri8t-1"/>
        </w:rPr>
        <w:t>-</w:t>
      </w:r>
      <w:r>
        <w:rPr>
          <w:rStyle w:val="pplri8t-1"/>
        </w:rPr>
        <w:t xml:space="preserve">me Thesavri Antiqvitatvm </w:t>
      </w:r>
      <w:r>
        <w:t>erschien Ende 1553 eben</w:t>
      </w:r>
      <w:r>
        <w:softHyphen/>
        <w:t>falls in Lyon und gibt eine Übersicht über die Geschichte der kaiser</w:t>
      </w:r>
      <w:r w:rsidR="00F86273">
        <w:t>-</w:t>
      </w:r>
      <w:r>
        <w:lastRenderedPageBreak/>
        <w:t xml:space="preserve">lichen Familien Roms. Sie wurde </w:t>
      </w:r>
      <w:r w:rsidR="00F86273">
        <w:t xml:space="preserve">zeitgleich </w:t>
      </w:r>
      <w:r>
        <w:t>auf Latein und Französisch publiziert und später von Conrad Gesner in Zü</w:t>
      </w:r>
      <w:r>
        <w:softHyphen/>
        <w:t xml:space="preserve">rich mehrfach nachgedruckt.[4] </w:t>
      </w:r>
    </w:p>
    <w:p w:rsidR="00307781" w:rsidRDefault="00743576">
      <w:pPr>
        <w:spacing w:line="276" w:lineRule="auto"/>
        <w:ind w:firstLine="284"/>
      </w:pPr>
      <w:r>
        <w:t>Mit seinem fertigen Buch reiste Strada im Spätherbst 1553 sofort von Lyon nach Rom, denn er scheint – viel</w:t>
      </w:r>
      <w:r>
        <w:softHyphen/>
        <w:t>leicht über seinen Auftraggeber, Hans Jakob Fugger, viel</w:t>
      </w:r>
      <w:r>
        <w:softHyphen/>
        <w:t xml:space="preserve">leicht aber auch schon aus früheren Aufenthalten in der Ewigen Stadt – von den dortigen </w:t>
      </w:r>
      <w:r>
        <w:rPr>
          <w:rStyle w:val="pplri8t-1"/>
        </w:rPr>
        <w:t>systematischen</w:t>
      </w:r>
      <w:r>
        <w:t xml:space="preserve"> Bestrebun</w:t>
      </w:r>
      <w:r>
        <w:softHyphen/>
        <w:t>gen zur Erforschung der römischen Antike und insbesonde</w:t>
      </w:r>
      <w:r>
        <w:softHyphen/>
        <w:t>re ihrer Architektur erfahren zu haben. Vermutlich wollte er sich – neben seinen geschäftlichen Aktivitäten – daran be</w:t>
      </w:r>
      <w:r>
        <w:softHyphen/>
        <w:t>teiligen und sah sein Buch als einen möglichen Beitrag zu diesem Projekt: Denn dieses umfasste neben vielem anderen auch den Plan, die antiken Münzen als wichtige historische Quellen systematisch in illustrierten Beschreibungen zu do</w:t>
      </w:r>
      <w:r>
        <w:softHyphen/>
        <w:t>kumentieren. Das durchaus als wissenschaftlich zu charak</w:t>
      </w:r>
      <w:r>
        <w:softHyphen/>
        <w:t>terisierende Forschungs-, Dokumentations- und Publikati</w:t>
      </w:r>
      <w:r>
        <w:softHyphen/>
        <w:t>onsprojekt wurde durch den Sieneser Gelehrten Claudio To</w:t>
      </w:r>
      <w:r>
        <w:softHyphen/>
        <w:t>lomei 1542 in einem Brief an den päpstlichen Gesandten in Venedig, Agosti</w:t>
      </w:r>
      <w:r w:rsidR="00F86273">
        <w:t>-</w:t>
      </w:r>
      <w:r>
        <w:t xml:space="preserve">no de'Landi, dargelegt. Ziel des Projekts war es, das </w:t>
      </w:r>
      <w:r w:rsidRPr="00F86273">
        <w:rPr>
          <w:rStyle w:val="pplri8t-1"/>
        </w:rPr>
        <w:t>gesamte</w:t>
      </w:r>
      <w:r>
        <w:rPr>
          <w:rStyle w:val="pplri8t-1"/>
        </w:rPr>
        <w:t xml:space="preserve"> </w:t>
      </w:r>
      <w:r>
        <w:rPr>
          <w:rStyle w:val="pplri8t-1"/>
          <w:i w:val="0"/>
        </w:rPr>
        <w:t xml:space="preserve">theoretische wie praktische </w:t>
      </w:r>
      <w:r>
        <w:t>Wissen zur als vorbildlich angesehenen antiken Architektur zu rekonstruieren, zu systematisieren und zu publizieren, um so Bau</w:t>
      </w:r>
      <w:r>
        <w:softHyphen/>
        <w:t>herren und Architekten einen verlässlichen Leitfaden an die Hand zu geben, wie man gut und schön, orientiert an den besten Vorbildern der Antike, bauen könne bzw. solle.[5]</w:t>
      </w:r>
    </w:p>
    <w:p w:rsidR="00307781" w:rsidRDefault="00743576">
      <w:pPr>
        <w:spacing w:line="276" w:lineRule="auto"/>
        <w:ind w:firstLine="284"/>
      </w:pPr>
      <w:r>
        <w:t>Daneben wäre das Kompendium aber auch eine nahezu vollständige Dokumentation der materiellen Kultur des an</w:t>
      </w:r>
      <w:r>
        <w:softHyphen/>
        <w:t>tiken Rom gewesen. Denn man wollte in insgesamt 24</w:t>
      </w:r>
      <w:r w:rsidR="00F86273">
        <w:t xml:space="preserve">, z.T. sicher mehrbändigen </w:t>
      </w:r>
      <w:r>
        <w:t>Bü</w:t>
      </w:r>
      <w:r>
        <w:softHyphen/>
        <w:t xml:space="preserve">chern neben der Architekturtheorie, die in den </w:t>
      </w:r>
      <w:r>
        <w:rPr>
          <w:rStyle w:val="pplri8t-1"/>
        </w:rPr>
        <w:t>Zehn Bü</w:t>
      </w:r>
      <w:r>
        <w:rPr>
          <w:rStyle w:val="pplri8t-1"/>
        </w:rPr>
        <w:softHyphen/>
        <w:t xml:space="preserve">chern zur Architektur </w:t>
      </w:r>
      <w:r>
        <w:t xml:space="preserve">des zu Caesars und Augustus’ Zeiten wirkenden Vitruv niedergelegt war, und den erhaltenen Bauten Roms und seiner Umgebung auch </w:t>
      </w:r>
      <w:r>
        <w:lastRenderedPageBreak/>
        <w:t xml:space="preserve">deren urbanes Umfeld in seiner historischen Entwicklung sowie </w:t>
      </w:r>
      <w:r>
        <w:rPr>
          <w:i/>
        </w:rPr>
        <w:t>alle</w:t>
      </w:r>
      <w:r>
        <w:t xml:space="preserve"> Ar</w:t>
      </w:r>
      <w:r>
        <w:softHyphen/>
        <w:t xml:space="preserve">chitekturdetails und antiken Quellen dokumentieren und kommentieren, die zum Verständnis der Bauwerke beitragen konnten: Dazu gehörten vereinzelt erhaltene, inzwischen über ganz Rom verstreute </w:t>
      </w:r>
      <w:r w:rsidR="00681B2B">
        <w:t>Architektur</w:t>
      </w:r>
      <w:r>
        <w:t xml:space="preserve">elemente wie Basen, </w:t>
      </w:r>
      <w:r w:rsidR="00681B2B">
        <w:t xml:space="preserve">Kapitelle, </w:t>
      </w:r>
      <w:r>
        <w:t>Gesim</w:t>
      </w:r>
      <w:r>
        <w:softHyphen/>
        <w:t>se</w:t>
      </w:r>
      <w:r w:rsidR="00681B2B">
        <w:t xml:space="preserve"> und </w:t>
      </w:r>
      <w:r>
        <w:t>Friese, ebenso Bauornamente wie bspw. Vasen, Statuen und Reliefs, aber auch Werkzeuge und Maschinen, Inschriften, Münzen und selbst die Aquä</w:t>
      </w:r>
      <w:r>
        <w:softHyphen/>
        <w:t>dukte. Damit sollte ein vollständiges Verständnis nicht nur der formalen Eigenheiten antiker Architektur gewonnen werden, sondern auch eines ihrer politischen, religiösen, so</w:t>
      </w:r>
      <w:r>
        <w:softHyphen/>
        <w:t xml:space="preserve">zialen und kulturellen Funktionen.[6] </w:t>
      </w:r>
    </w:p>
    <w:p w:rsidR="00307781" w:rsidRDefault="00743576">
      <w:pPr>
        <w:spacing w:line="276" w:lineRule="auto"/>
        <w:ind w:firstLine="284"/>
      </w:pPr>
      <w:r>
        <w:t>Strada hielt sich zwischen 1553 und 1555, eventuell aber auch schon in den frühen 1540er Jahren und damit zur sel</w:t>
      </w:r>
      <w:r>
        <w:softHyphen/>
        <w:t>ben Zeit in Rom auf, als dort an der Realisierung des um</w:t>
      </w:r>
      <w:r>
        <w:softHyphen/>
        <w:t>fangreichen Programms viel intensiver gearbeitet wurde, als bisher bekannt war. Denn im Gegensatz zur vorherrschen</w:t>
      </w:r>
      <w:r>
        <w:softHyphen/>
        <w:t>den Forschungsmeinung, dieses Projekt sei viel zu umfang</w:t>
      </w:r>
      <w:r>
        <w:softHyphen/>
        <w:t>reich und über erste Ansätze nicht hinaus gekommen, konn</w:t>
      </w:r>
      <w:r>
        <w:softHyphen/>
        <w:t>te dem Projekt inzwischen eine Vielzahl archivalischer Quellen und vor allem eine riesige Zahl antike Artefakte do</w:t>
      </w:r>
      <w:r>
        <w:softHyphen/>
        <w:t xml:space="preserve">kumentierender Zeichnungen und Manuskripte zugeordnet werden. Seine vollständige Realisierung im Druck wurde vielleicht nur durch den frühen Tod seines </w:t>
      </w:r>
      <w:r>
        <w:rPr>
          <w:rStyle w:val="pplri8t-1"/>
        </w:rPr>
        <w:t>Spiritus rector</w:t>
      </w:r>
      <w:r>
        <w:t>, des Kardinals Marcello Cervini (geb. 1501, gestorben 1555 nach nur dreiwöchiger Regenschaft als Papst Marcellus II.) verhindert.</w:t>
      </w:r>
    </w:p>
    <w:p w:rsidR="00307781" w:rsidRDefault="00743576">
      <w:pPr>
        <w:spacing w:line="276" w:lineRule="auto"/>
        <w:ind w:firstLine="284"/>
      </w:pPr>
      <w:r>
        <w:t>Die erwähnte bisher überwiegend negative Forschungs-meinung zu Ausführung und Erfolg des Projekts ignoriert nicht nur die bemerkenswert konsistente und von Tolomei auch gut begründete Systematik des Programms, sondern beruht auch überwiegend auf einem Einwand, den Tolomei selbst bereits vorweg genommen und unter Hinweis auf die große Zahl der Beteiligten und die koordinierte Arbeitstei</w:t>
      </w:r>
      <w:r>
        <w:softHyphen/>
      </w:r>
      <w:r>
        <w:lastRenderedPageBreak/>
        <w:t>lung unter ihnen zurückgewiesen hatte: Er vergleich deren Arbeit mit den hunderten Werkstätten, die zugleich in einer großen Stadt tätig wären, und behauptet sogar, es sei mög</w:t>
      </w:r>
      <w:r>
        <w:softHyphen/>
        <w:t>lich, dass diese sehr große Gruppe von Gelehrten und Künstlern</w:t>
      </w:r>
      <w:r w:rsidR="00576C10">
        <w:t xml:space="preserve"> – denn jede Kunst, und insbesondere die Architektur, bestünde aus Theorie </w:t>
      </w:r>
      <w:r w:rsidR="00576C10">
        <w:rPr>
          <w:i/>
        </w:rPr>
        <w:t xml:space="preserve">und </w:t>
      </w:r>
      <w:r w:rsidR="00576C10">
        <w:t>Praxis –</w:t>
      </w:r>
      <w:r>
        <w:t xml:space="preserve"> das Programm </w:t>
      </w:r>
      <w:r w:rsidR="00576C10">
        <w:t>»</w:t>
      </w:r>
      <w:r>
        <w:t>in weniger als drei Jahren</w:t>
      </w:r>
      <w:r w:rsidR="00576C10">
        <w:t>«</w:t>
      </w:r>
      <w:r>
        <w:t xml:space="preserve"> </w:t>
      </w:r>
      <w:r w:rsidR="00576C10">
        <w:t>(»</w:t>
      </w:r>
      <w:r>
        <w:t>meno di tre anni</w:t>
      </w:r>
      <w:r w:rsidR="00576C10">
        <w:t>«)</w:t>
      </w:r>
      <w:r>
        <w:t xml:space="preserve"> abschließen könne! [7] Da Tolomei für dieses Forschungsnetzwerk keine Bezeichnung überlie</w:t>
      </w:r>
      <w:r>
        <w:softHyphen/>
        <w:t xml:space="preserve">fert, hat man es bisher mit der zeitgleichen </w:t>
      </w:r>
      <w:r>
        <w:rPr>
          <w:i/>
        </w:rPr>
        <w:t xml:space="preserve">Accademia della Virtù </w:t>
      </w:r>
      <w:r>
        <w:t>identifiziert, deren Mitglied</w:t>
      </w:r>
      <w:r w:rsidR="00576C10">
        <w:t>er</w:t>
      </w:r>
      <w:r>
        <w:t xml:space="preserve"> Tolomei, Cervini und an</w:t>
      </w:r>
      <w:r>
        <w:softHyphen/>
        <w:t>dere führende Intellektuelle Roms waren. Wie jedoch erst kürzlich durch Ambra Moroncini (2016/2017) gezeigt wer</w:t>
      </w:r>
      <w:r>
        <w:softHyphen/>
        <w:t>den konnte, widmete sich diese Akademie vorrangig der neulateinischen Dichtung sowie Bestrebungen zur Refor</w:t>
      </w:r>
      <w:r>
        <w:softHyphen/>
        <w:t>mierung und Vereinheitlichung der italienischen Sprache, damit diese Latein als Wissenschaftssprache ablösen könne.</w:t>
      </w:r>
    </w:p>
    <w:p w:rsidR="00307781" w:rsidRDefault="00743576">
      <w:pPr>
        <w:spacing w:line="276" w:lineRule="auto"/>
        <w:ind w:firstLine="284"/>
      </w:pPr>
      <w:r>
        <w:t>Zeitgleich waren viele der Gelehrten und Künstler sowie Architekten jedoch in einer andere</w:t>
      </w:r>
      <w:r w:rsidR="00BC6DCC">
        <w:t>n</w:t>
      </w:r>
      <w:r>
        <w:t xml:space="preserve"> Akademie aktiv, deren Kopf wohl Cervini war und die sich </w:t>
      </w:r>
      <w:r>
        <w:rPr>
          <w:i/>
        </w:rPr>
        <w:t xml:space="preserve">Accademia de lo Studio de l'Architettura </w:t>
      </w:r>
      <w:r>
        <w:t>(in der damaligen Schreibweise) nannte. Dieser Name wird durch ihr Mitglied Dionigi Atanagi über-mittelt und beschreibt genau ihre Aktivitäten, die auch von anderen Zeitgenossen wie bspw. Strada, jedoch ohne Nennung einer Bezeichnung, bezeugt werden.[8]</w:t>
      </w:r>
    </w:p>
    <w:p w:rsidR="00307781" w:rsidRDefault="00743576">
      <w:pPr>
        <w:spacing w:line="276" w:lineRule="auto"/>
        <w:ind w:firstLine="284"/>
      </w:pPr>
      <w:r>
        <w:t>Eines der umfangreichen Arbeitsergebnisse dieses Pro-jekts ist die von Jean Matal zwischen 1545 und 1555 koor-dinierte Sammlung lateinischer Inschriften, welche sich heu</w:t>
      </w:r>
      <w:r>
        <w:softHyphen/>
        <w:t xml:space="preserve">te in der </w:t>
      </w:r>
      <w:r>
        <w:rPr>
          <w:i/>
        </w:rPr>
        <w:t>Biblioteca Apostolica Vaticana</w:t>
      </w:r>
      <w:r>
        <w:t xml:space="preserve"> befindet.[9] Sie ist bereits seit längerem bekannt: In den 1840er Jahren sah der junge Theodor Mommsen im Vatikan erstmals diese Manuskripte, für die Matal über 30 Mitwirkende</w:t>
      </w:r>
      <w:r w:rsidR="00D75CFD">
        <w:t xml:space="preserve"> </w:t>
      </w:r>
      <w:r>
        <w:t>koordinierte: Sie überprüften bereits bekannte In</w:t>
      </w:r>
      <w:r>
        <w:softHyphen/>
        <w:t xml:space="preserve">schriften und nahmen zahlreiche neue auf. Diese dokumentierten sie vor allem mit der </w:t>
      </w:r>
      <w:r>
        <w:lastRenderedPageBreak/>
        <w:t xml:space="preserve">größtmöglichen Präzision unter Darstellung </w:t>
      </w:r>
      <w:r w:rsidR="00D75CFD">
        <w:t>all</w:t>
      </w:r>
      <w:r>
        <w:t xml:space="preserve">er Beschädigungen und getrennt von eigenen Korrekturen sowie unter Angabe von Fund- bzw. gegenwärtigem Aufbewahrungsort, Namen der Transkribenten und gelegentlich sogar des Datuns der Transkription. Praktisch dieselbe Methodik wandte dann Mommsens </w:t>
      </w:r>
      <w:r>
        <w:rPr>
          <w:rStyle w:val="pplri8t-1"/>
        </w:rPr>
        <w:t>Corpus Inscriptionum</w:t>
      </w:r>
      <w:r>
        <w:t xml:space="preserve"> </w:t>
      </w:r>
      <w:r>
        <w:rPr>
          <w:rStyle w:val="pplri8t-1"/>
        </w:rPr>
        <w:t xml:space="preserve">Latinarum </w:t>
      </w:r>
      <w:r>
        <w:t>(</w:t>
      </w:r>
      <w:r>
        <w:rPr>
          <w:rStyle w:val="pplri8t-1"/>
        </w:rPr>
        <w:t>CIL</w:t>
      </w:r>
      <w:r>
        <w:t xml:space="preserve">) an: ein wissenschaftliches Großprojekt, das seit 1858 noch heute an der </w:t>
      </w:r>
      <w:r>
        <w:rPr>
          <w:rStyle w:val="pplri8t-1"/>
        </w:rPr>
        <w:t>Berlin-Bran</w:t>
      </w:r>
      <w:r>
        <w:rPr>
          <w:rStyle w:val="pplri8t-1"/>
        </w:rPr>
        <w:softHyphen/>
        <w:t>denburgischen Akademie</w:t>
      </w:r>
      <w:r>
        <w:t xml:space="preserve"> </w:t>
      </w:r>
      <w:r>
        <w:rPr>
          <w:rStyle w:val="pplri8t-1"/>
        </w:rPr>
        <w:t xml:space="preserve">der Wissenschaften </w:t>
      </w:r>
      <w:r>
        <w:t>fortgeführt wird, allerdings aber in naher Zukunft eingestellt werden soll, und das also ganz entscheidend auf die Anregungen durch die Inschriftensammlung aus dem Umkreis Tolomeis</w:t>
      </w:r>
      <w:r w:rsidR="00D75CFD">
        <w:t>, Cervinis und Matals</w:t>
      </w:r>
      <w:r>
        <w:t xml:space="preserve"> zurück gehen dürfte. Allerdings stehen beim </w:t>
      </w:r>
      <w:r>
        <w:rPr>
          <w:rStyle w:val="pplri8t-1"/>
        </w:rPr>
        <w:t xml:space="preserve">CIL </w:t>
      </w:r>
      <w:r>
        <w:t>die antiken In</w:t>
      </w:r>
      <w:r w:rsidR="00D75CFD">
        <w:t>s</w:t>
      </w:r>
      <w:r>
        <w:t xml:space="preserve">chriften </w:t>
      </w:r>
      <w:r>
        <w:rPr>
          <w:rStyle w:val="pplri8t-1"/>
        </w:rPr>
        <w:t xml:space="preserve">selbst </w:t>
      </w:r>
      <w:r>
        <w:t>im Zentrum, nicht ihre diversen Überlie</w:t>
      </w:r>
      <w:r>
        <w:softHyphen/>
        <w:t>ferungsgeschichten oder die daran Mitwirkenden und deren Methodik. Das dürfte auch die Ursache dafür sein, dass die Kenntnisse über die eng verflochtene, weitgespannte Ko</w:t>
      </w:r>
      <w:r>
        <w:softHyphen/>
        <w:t>operation der Epigraphiker um Jean Matal in anderen mo</w:t>
      </w:r>
      <w:r>
        <w:softHyphen/>
        <w:t>dernen Fachgebieten, die sich mit der Erforschung der römi</w:t>
      </w:r>
      <w:r>
        <w:softHyphen/>
        <w:t>schen Antike beschäftigen, weitestgehend unbekannt geblie</w:t>
      </w:r>
      <w:r>
        <w:softHyphen/>
        <w:t xml:space="preserve">ben ist, </w:t>
      </w:r>
      <w:r>
        <w:rPr>
          <w:rStyle w:val="pplri8t-1"/>
        </w:rPr>
        <w:t xml:space="preserve">obwohl </w:t>
      </w:r>
      <w:r>
        <w:t>viele der im 16. Jahrhundert daran Beteilig</w:t>
      </w:r>
      <w:r>
        <w:softHyphen/>
        <w:t xml:space="preserve">ten auch in anderen, jedoch weniger gut bekannten </w:t>
      </w:r>
      <w:r w:rsidR="006378F9">
        <w:t>»</w:t>
      </w:r>
      <w:r>
        <w:t>Teilpro</w:t>
      </w:r>
      <w:r>
        <w:softHyphen/>
        <w:t>jekten</w:t>
      </w:r>
      <w:r w:rsidR="006378F9">
        <w:t>«</w:t>
      </w:r>
      <w:r>
        <w:t xml:space="preserve"> der </w:t>
      </w:r>
      <w:r>
        <w:rPr>
          <w:rStyle w:val="pplri8t-1"/>
        </w:rPr>
        <w:t>Accademia</w:t>
      </w:r>
      <w:r>
        <w:t xml:space="preserve"> mitwirkten. </w:t>
      </w:r>
    </w:p>
    <w:p w:rsidR="00307781" w:rsidRDefault="00743576">
      <w:pPr>
        <w:spacing w:line="276" w:lineRule="auto"/>
        <w:ind w:firstLine="284"/>
      </w:pPr>
      <w:r>
        <w:t>Dies trifft z.B. auf Stephanus Winandus Pighius (Ste</w:t>
      </w:r>
      <w:r>
        <w:softHyphen/>
        <w:t>phan Pigge) zu, der nicht nur einer der fleißigsten Beiträger Matals war, sondern der auch dem – heute würde man wohl sagen: inter- oder transdisziplinären – Vorgehen der Akade</w:t>
      </w:r>
      <w:r>
        <w:softHyphen/>
        <w:t xml:space="preserve">miker in seiner kleinen Schrift </w:t>
      </w:r>
      <w:r>
        <w:rPr>
          <w:rStyle w:val="pplri8t-1"/>
        </w:rPr>
        <w:t xml:space="preserve">Themis Dea </w:t>
      </w:r>
      <w:r>
        <w:t>ein Denkmal setzte: Darin gibt er ein Gespräch im Statuengarten Kardi</w:t>
      </w:r>
      <w:r>
        <w:softHyphen/>
        <w:t>nal Cesi</w:t>
      </w:r>
      <w:r w:rsidR="00D75CFD">
        <w:t>s</w:t>
      </w:r>
      <w:r>
        <w:t xml:space="preserve"> wieder, an dem neben Pighius selbst</w:t>
      </w:r>
      <w:r w:rsidR="00D75CFD">
        <w:t xml:space="preserve"> </w:t>
      </w:r>
      <w:r>
        <w:t>auch Jean Matal, dessen Freund, Förderer und Vorgesetzter Anto</w:t>
      </w:r>
      <w:r>
        <w:softHyphen/>
        <w:t xml:space="preserve">nio Agustín – einer, wenn nicht </w:t>
      </w:r>
      <w:r>
        <w:rPr>
          <w:rStyle w:val="pplri8t-1"/>
        </w:rPr>
        <w:t xml:space="preserve">der </w:t>
      </w:r>
      <w:r>
        <w:t>Begründer der wissen</w:t>
      </w:r>
      <w:r>
        <w:softHyphen/>
        <w:t>schaftlichen Numismatik – und der Medailleur, Zeichner, Epigraphiker und Numismatiker Antoine Morillon teilnah</w:t>
      </w:r>
      <w:r>
        <w:softHyphen/>
        <w:t>men.[10] Letzterer kann vermut</w:t>
      </w:r>
      <w:r w:rsidR="00D75CFD">
        <w:t>-</w:t>
      </w:r>
      <w:r>
        <w:lastRenderedPageBreak/>
        <w:t xml:space="preserve">lich als Hauptzeichner des </w:t>
      </w:r>
      <w:r w:rsidR="00D75CFD">
        <w:t xml:space="preserve">sog. </w:t>
      </w:r>
      <w:r>
        <w:t xml:space="preserve">Codex </w:t>
      </w:r>
      <w:r>
        <w:rPr>
          <w:rStyle w:val="pplri8t-1"/>
        </w:rPr>
        <w:t xml:space="preserve">Coburgensis </w:t>
      </w:r>
      <w:r>
        <w:t xml:space="preserve">identifiziert werden, in dem sich viele Überschneidungen mit dem Codex </w:t>
      </w:r>
      <w:r>
        <w:rPr>
          <w:rStyle w:val="pplri8t-1"/>
        </w:rPr>
        <w:t>Pighianus</w:t>
      </w:r>
      <w:r>
        <w:t xml:space="preserve"> finden, der wiederum – wie der Name schon sagt – auf Pighius selbst zurück geht.[11] In diesem Gespräch werden alle verfügba</w:t>
      </w:r>
      <w:r>
        <w:softHyphen/>
        <w:t>ren Quellen herangezogen – Inschriften, Skulpturen, Reli</w:t>
      </w:r>
      <w:r>
        <w:softHyphen/>
        <w:t xml:space="preserve">efs, Münzen – um eine kurz zuvor durch </w:t>
      </w:r>
      <w:r w:rsidR="00D75CFD">
        <w:t xml:space="preserve">Kardinal </w:t>
      </w:r>
      <w:r>
        <w:t>Cesi erworbene an</w:t>
      </w:r>
      <w:r>
        <w:softHyphen/>
        <w:t>tike Herme zu deuten. Auch wenn die Gelehrten dabei zu ei</w:t>
      </w:r>
      <w:r>
        <w:softHyphen/>
        <w:t>nem falschen Schluss kamen, wie Henning Wrede nach</w:t>
      </w:r>
      <w:r>
        <w:softHyphen/>
        <w:t>weisen konnte,[12] ist das Gespräch doch ein eindrückli</w:t>
      </w:r>
      <w:r>
        <w:softHyphen/>
        <w:t>ches Zeugnis dafür, wie spezialisiert und zugleich koordi</w:t>
      </w:r>
      <w:r>
        <w:softHyphen/>
        <w:t>niert die Akademiker bei der Untersuchung und Interpreta</w:t>
      </w:r>
      <w:r>
        <w:softHyphen/>
        <w:t xml:space="preserve">tion antiker Objekte vorgingen. </w:t>
      </w:r>
    </w:p>
    <w:p w:rsidR="00307781" w:rsidRDefault="00743576">
      <w:pPr>
        <w:spacing w:line="276" w:lineRule="auto"/>
        <w:ind w:firstLine="284"/>
      </w:pPr>
      <w:r>
        <w:t>Es lässt sich mit guten Gründen anhand anderer, kürze</w:t>
      </w:r>
      <w:r>
        <w:softHyphen/>
        <w:t xml:space="preserve">rer Berichte annehmen, dass in anderen </w:t>
      </w:r>
      <w:r w:rsidR="006378F9">
        <w:t>»</w:t>
      </w:r>
      <w:r>
        <w:t>Arbeitsgruppen</w:t>
      </w:r>
      <w:r w:rsidR="006378F9">
        <w:t xml:space="preserve">« </w:t>
      </w:r>
      <w:r>
        <w:t xml:space="preserve">der </w:t>
      </w:r>
      <w:r>
        <w:rPr>
          <w:rStyle w:val="pplri8t-1"/>
        </w:rPr>
        <w:t xml:space="preserve">Accademia </w:t>
      </w:r>
      <w:r w:rsidR="00086ED9">
        <w:t>ähnliches</w:t>
      </w:r>
      <w:r>
        <w:t xml:space="preserve"> geschah: So überliefert der Gi</w:t>
      </w:r>
      <w:r>
        <w:softHyphen/>
        <w:t>rolamo Garimberto 1544 i</w:t>
      </w:r>
      <w:r w:rsidR="00086ED9">
        <w:t>n der Einleitung</w:t>
      </w:r>
      <w:r>
        <w:t xml:space="preserve"> seiner Schrift über die Bedeutung einer guten Verfassung als Fun</w:t>
      </w:r>
      <w:r>
        <w:softHyphen/>
        <w:t>dament für den Aufbau eines staatlichen Rechtssystems ein Gespräch unter den Akademikern, in denen die führenden römischen Architekten seiner Zeit – Antonio da Sangallo der Jüngere und Jacopo Meleghino, beide am Neubau von St. Peter maßgeblich beteiligt – nach einem gemeinsamen Besuch des Palatins durch mehrere Akademiker, darunter Tolomei, die Frage diskutieren, ob und inwiefern man aus dem in Form der Fundamente erhaltenen Grundriss eines antiken Bauwerks seine gesamte aufgehende Gestalt rekon</w:t>
      </w:r>
      <w:r>
        <w:softHyphen/>
        <w:t>struieren könne.[13] Dabei vertritt Sangallo die Auffassung, dass man aufgrund der bekannten bzw. rekonstruierbaren Regeln der antiken Architektur dies sehr wohl könne, wäh</w:t>
      </w:r>
      <w:r>
        <w:softHyphen/>
        <w:t>rend Meleghino unter Verweis auf Bauten wie den päpstlichen Palast meint, Architektur sei zumeist nicht regelhaft genug, um solche Schlüsse zuzulassen. Garimbertos Sympathie liegt zweifel</w:t>
      </w:r>
      <w:r>
        <w:softHyphen/>
        <w:t>los bei Sangallo, denn dessen These stützt,  metaphorisch gewendet, seine eigene</w:t>
      </w:r>
      <w:r w:rsidR="00086ED9">
        <w:t>:</w:t>
      </w:r>
      <w:r>
        <w:t xml:space="preserve"> dass </w:t>
      </w:r>
      <w:r>
        <w:lastRenderedPageBreak/>
        <w:t xml:space="preserve">ein solides Rechtssystem einer eindeutigen, grundlegenden Verfassung und klarer Regeln für die Ableitung der einzelnen Gesetze bedürfe. </w:t>
      </w:r>
      <w:r w:rsidR="00086ED9">
        <w:t>Zugleich liefert die Diskussion aber auch ein Argument dafür, die antike, regelgeleitete Baukunst zum Vorbild einer künftigen Architektur zu nehmen und eben nicht die vermeintlich regellose des Mittelalters.</w:t>
      </w:r>
    </w:p>
    <w:p w:rsidR="00307781" w:rsidRDefault="00743576">
      <w:pPr>
        <w:spacing w:line="276" w:lineRule="auto"/>
        <w:ind w:firstLine="284"/>
      </w:pPr>
      <w:r>
        <w:t>In Rom hatte Strada zu den Humanisten, Antiquaren, Architekten</w:t>
      </w:r>
      <w:r w:rsidR="00086ED9">
        <w:t xml:space="preserve">, </w:t>
      </w:r>
      <w:r>
        <w:t xml:space="preserve">Künstlern, Mäzenen, </w:t>
      </w:r>
      <w:r w:rsidR="00086ED9">
        <w:t>Verlegern</w:t>
      </w:r>
      <w:r>
        <w:t xml:space="preserve"> und wohl auch Zeichnern dieses Kreises engen persönlichen Kontakt: Er bezeichnet die Gruppe als eine </w:t>
      </w:r>
      <w:r w:rsidR="00086ED9">
        <w:t>»</w:t>
      </w:r>
      <w:r>
        <w:t>äußerst gelehrte Akade</w:t>
      </w:r>
      <w:r>
        <w:softHyphen/>
        <w:t>mie</w:t>
      </w:r>
      <w:r w:rsidR="00086ED9">
        <w:t>«</w:t>
      </w:r>
      <w:r>
        <w:t xml:space="preserve"> (</w:t>
      </w:r>
      <w:r w:rsidR="00086ED9">
        <w:t>»</w:t>
      </w:r>
      <w:r>
        <w:rPr>
          <w:i/>
        </w:rPr>
        <w:t>eruditissima academia</w:t>
      </w:r>
      <w:r w:rsidR="00086ED9">
        <w:t>«</w:t>
      </w:r>
      <w:r>
        <w:t>) und nennt 20 Berufsgrup</w:t>
      </w:r>
      <w:r>
        <w:softHyphen/>
        <w:t>pen, aus denen jeweils mehrere Vertreter zu diesen Treffen  zusammen</w:t>
      </w:r>
      <w:r w:rsidR="00086ED9">
        <w:t>gekommen wären</w:t>
      </w:r>
      <w:r>
        <w:t xml:space="preserve">. Sie trafen sich fast täglich im </w:t>
      </w:r>
      <w:r w:rsidR="00C80253">
        <w:t xml:space="preserve">von Sangallo errichteten, noch unfertigen riesigen </w:t>
      </w:r>
      <w:r>
        <w:t>Palast des Kardinals Alessandro Farnese (Neffe Papst Pauls III.), und Strada rechnet es sich als Ehre an, zu diesen Treffen einge</w:t>
      </w:r>
      <w:r>
        <w:softHyphen/>
        <w:t xml:space="preserve">laden worden zu sein.[14] So übergab ihm wohl </w:t>
      </w:r>
      <w:r w:rsidR="00C80253">
        <w:t xml:space="preserve">auch </w:t>
      </w:r>
      <w:r>
        <w:t xml:space="preserve">Antonio Agustín zwei </w:t>
      </w:r>
      <w:r w:rsidR="00C80253">
        <w:t xml:space="preserve">praktisch </w:t>
      </w:r>
      <w:r>
        <w:t>fertige Bücher des Matal-Schülers Onofrio Panvinio, um diese in Venedig zu publizieren, denn Panvi</w:t>
      </w:r>
      <w:r>
        <w:softHyphen/>
        <w:t xml:space="preserve">nio selbst war wohl zu sehr Perfektionist, um seine Schriften schon einem Drucker übergeben zu wollen. Aufgrund einer Reihe von Fehlern </w:t>
      </w:r>
      <w:r w:rsidR="00C80253">
        <w:t>vor allem</w:t>
      </w:r>
      <w:r>
        <w:t> bei der Bin</w:t>
      </w:r>
      <w:r>
        <w:softHyphen/>
        <w:t>dung sah sich Panvinio allerdings kurz darauf genötigt, selbst eine korrigierte Fassung herauszubringen. [15] Trotz</w:t>
      </w:r>
      <w:r>
        <w:softHyphen/>
        <w:t>dem verdeutlicht diese Begebenheit recht gut, wie eng Stra</w:t>
      </w:r>
      <w:r>
        <w:softHyphen/>
        <w:t>da mit den Akademikern in Rom verbunden gewesen sein muss.</w:t>
      </w:r>
    </w:p>
    <w:p w:rsidR="00307781" w:rsidRDefault="00743576">
      <w:pPr>
        <w:spacing w:line="276" w:lineRule="auto"/>
        <w:ind w:firstLine="284"/>
      </w:pPr>
      <w:r>
        <w:t xml:space="preserve">Neben lediglich einem gedruckten Buch [16] wurden bis-her vor allem die Zeichnungen der sog. </w:t>
      </w:r>
      <w:r>
        <w:rPr>
          <w:rStyle w:val="pplri8t-1"/>
        </w:rPr>
        <w:t>Codices Cobur</w:t>
      </w:r>
      <w:r>
        <w:rPr>
          <w:rStyle w:val="pplri8t-1"/>
        </w:rPr>
        <w:softHyphen/>
        <w:t xml:space="preserve">gensis </w:t>
      </w:r>
      <w:r>
        <w:t xml:space="preserve">und </w:t>
      </w:r>
      <w:r>
        <w:rPr>
          <w:rStyle w:val="pplri8t-1"/>
        </w:rPr>
        <w:t xml:space="preserve">Pighianus </w:t>
      </w:r>
      <w:r>
        <w:t xml:space="preserve">nach antiken Reliefs als Ergebnisse des von Tolomei beschriebenen Vorhabens angesehen.[17] </w:t>
      </w:r>
    </w:p>
    <w:p w:rsidR="00307781" w:rsidRDefault="00743576">
      <w:pPr>
        <w:spacing w:line="276" w:lineRule="auto"/>
        <w:ind w:firstLine="284"/>
      </w:pPr>
      <w:r>
        <w:t>Doch die Forschungen des Verfassers zu einer sehr gro</w:t>
      </w:r>
      <w:r>
        <w:softHyphen/>
        <w:t>ßen, bisher kaum beachteten Gruppe anonymer Architektur</w:t>
      </w:r>
      <w:r>
        <w:softHyphen/>
        <w:t xml:space="preserve">zeichnungen und deren Entstehungshintergrund zeigten, dass </w:t>
      </w:r>
      <w:r>
        <w:lastRenderedPageBreak/>
        <w:t>nicht nur diese Zeichnungen selbst wohl als Arbeitser</w:t>
      </w:r>
      <w:r>
        <w:softHyphen/>
        <w:t xml:space="preserve">gebnisse der </w:t>
      </w:r>
      <w:r>
        <w:rPr>
          <w:rStyle w:val="pplri8t-1"/>
        </w:rPr>
        <w:t xml:space="preserve">Accademia </w:t>
      </w:r>
      <w:r>
        <w:t>und Vorarbeiten für das – vermut</w:t>
      </w:r>
      <w:r>
        <w:softHyphen/>
        <w:t>lich mehrbändig – geplante Buch über die römischen Bau</w:t>
      </w:r>
      <w:r>
        <w:softHyphen/>
        <w:t>werke zu identifizieren sind.[18] Sondern dem Projekt las</w:t>
      </w:r>
      <w:r>
        <w:softHyphen/>
        <w:t>sen sich inzwischen auch weitere, ebenfalls sehr umfangreiche Zeichnungsgruppen zu anderen antike</w:t>
      </w:r>
      <w:r w:rsidR="00C80253">
        <w:t>n</w:t>
      </w:r>
      <w:r>
        <w:t xml:space="preserve"> Artefakte</w:t>
      </w:r>
      <w:r w:rsidR="00C80253">
        <w:t>n</w:t>
      </w:r>
      <w:r>
        <w:t xml:space="preserve"> als solche Vorarbeiten zurechnen; darunter, zumindest in Teilen, vermutlich auch Stradas </w:t>
      </w:r>
      <w:r>
        <w:rPr>
          <w:rStyle w:val="pplri8t-1"/>
        </w:rPr>
        <w:t xml:space="preserve">Magnum ac Novum Opus </w:t>
      </w:r>
      <w:r>
        <w:rPr>
          <w:rStyle w:val="pplri8t-1"/>
          <w:i w:val="0"/>
        </w:rPr>
        <w:t>sowie seine, bisher kaum beachteten 174 Zeichnungen nach antiken Skulpturen und ca. 120 Zeichnungen nach antiken Porträtbüsten</w:t>
      </w:r>
      <w:r>
        <w:t>.[19]</w:t>
      </w:r>
    </w:p>
    <w:p w:rsidR="00307781" w:rsidRDefault="00743576">
      <w:pPr>
        <w:spacing w:line="276" w:lineRule="auto"/>
        <w:ind w:firstLine="284"/>
      </w:pPr>
      <w:r>
        <w:t>Aber auch eine Vielzahl gedruckter Bücher – aktuell fast 100 – lassen sich auf solche Vorarbeiten zurückführen, wur</w:t>
      </w:r>
      <w:r>
        <w:softHyphen/>
        <w:t xml:space="preserve">den von Mitgliedern des </w:t>
      </w:r>
      <w:r>
        <w:rPr>
          <w:rStyle w:val="pplri8t-1"/>
        </w:rPr>
        <w:t>Accademia</w:t>
      </w:r>
      <w:r>
        <w:t xml:space="preserve">-Netzwerkes oder ihren Schülern und Erben verfasst oder herausgegeben und hielten sich zum Teil selbst noch Jahrzehnte nach 1555 erstaunlich präzise an </w:t>
      </w:r>
      <w:r w:rsidR="00C80253">
        <w:t>das</w:t>
      </w:r>
      <w:r>
        <w:t xml:space="preserve"> Tolomei'sche Pro</w:t>
      </w:r>
      <w:r>
        <w:softHyphen/>
        <w:t xml:space="preserve">gramm.[20] Beispielsweise entspricht die </w:t>
      </w:r>
      <w:r>
        <w:rPr>
          <w:rStyle w:val="pplri8t-1"/>
        </w:rPr>
        <w:t>Regola delli Cin</w:t>
      </w:r>
      <w:r>
        <w:rPr>
          <w:rStyle w:val="pplri8t-1"/>
        </w:rPr>
        <w:softHyphen/>
        <w:t>que Ordini</w:t>
      </w:r>
      <w:r>
        <w:t xml:space="preserve"> </w:t>
      </w:r>
      <w:r w:rsidR="00C80253">
        <w:t xml:space="preserve">des </w:t>
      </w:r>
      <w:r>
        <w:t xml:space="preserve">Jacopo Barozzis da Vignola recht gut dem 10. geplanten Band im </w:t>
      </w:r>
      <w:r>
        <w:rPr>
          <w:rStyle w:val="pplri8t-1"/>
        </w:rPr>
        <w:t>Accademia</w:t>
      </w:r>
      <w:r>
        <w:t>-Programm.[21] Dieser sollte eine übersichtliche und für die weniger gebildeten Praktiker leicht nachzuvollziehende Zusammenstellung der antiken Säulenordnungen für die Praxis bieten. Da eine solche Sys</w:t>
      </w:r>
      <w:r>
        <w:softHyphen/>
        <w:t xml:space="preserve">tematik sich weder aus den erhaltenen antiken Bauwerken noch aus Vitruvs </w:t>
      </w:r>
      <w:r>
        <w:rPr>
          <w:rStyle w:val="pplri8t-1"/>
        </w:rPr>
        <w:t xml:space="preserve">Zehn Büchern </w:t>
      </w:r>
      <w:r>
        <w:rPr>
          <w:rStyle w:val="pplri8t-1"/>
          <w:i w:val="0"/>
        </w:rPr>
        <w:t xml:space="preserve">berfriedigend </w:t>
      </w:r>
      <w:r>
        <w:t>rekonstruie</w:t>
      </w:r>
      <w:r>
        <w:softHyphen/>
        <w:t xml:space="preserve">ren ließ, erarbeitete Vignola eine eigene, erstmals modulare Lösung. Denn er hatte bereits in den 1530er Jahren laut Giorgio Vasari und Egnazio Danti, die ihn beide persönlich kannten, für die römische </w:t>
      </w:r>
      <w:r>
        <w:rPr>
          <w:rStyle w:val="pplri8t-1"/>
        </w:rPr>
        <w:t>Accademia</w:t>
      </w:r>
      <w:r>
        <w:t>, die sich unter der Lei</w:t>
      </w:r>
      <w:r>
        <w:softHyphen/>
        <w:t xml:space="preserve">tung Kardinal Marcello Cervinis dem Studium Vitruvs (und der antiken Architektur) widmete, </w:t>
      </w:r>
      <w:r w:rsidR="00C80253">
        <w:t>»</w:t>
      </w:r>
      <w:r>
        <w:t>alle Antiken Roms voll</w:t>
      </w:r>
      <w:r>
        <w:softHyphen/>
        <w:t>ständig vermessen</w:t>
      </w:r>
      <w:r w:rsidR="00C80253">
        <w:t>«</w:t>
      </w:r>
      <w:r>
        <w:t xml:space="preserve"> </w:t>
      </w:r>
      <w:r w:rsidR="00C80253">
        <w:t>(</w:t>
      </w:r>
      <w:r>
        <w:t>«misurare interamente tutte gli anti</w:t>
      </w:r>
      <w:r>
        <w:softHyphen/>
        <w:t>caglie di Roma</w:t>
      </w:r>
      <w:r w:rsidR="00C80253">
        <w:t>»)</w:t>
      </w:r>
      <w:r>
        <w:t>.[22] In ähnlicher Weise entspricht das vier</w:t>
      </w:r>
      <w:r>
        <w:softHyphen/>
        <w:t xml:space="preserve">te Buch der </w:t>
      </w:r>
      <w:r>
        <w:rPr>
          <w:rStyle w:val="pplri8t-1"/>
        </w:rPr>
        <w:t>Quattro Libri</w:t>
      </w:r>
      <w:r>
        <w:t xml:space="preserve"> </w:t>
      </w:r>
      <w:r>
        <w:rPr>
          <w:rStyle w:val="pplri8t-1"/>
        </w:rPr>
        <w:t xml:space="preserve">dell’Architettura </w:t>
      </w:r>
      <w:r>
        <w:t>Andrea Palladi</w:t>
      </w:r>
      <w:r>
        <w:softHyphen/>
        <w:t xml:space="preserve">os im Aufbau und im, wenn auch auf die </w:t>
      </w:r>
      <w:r>
        <w:lastRenderedPageBreak/>
        <w:t xml:space="preserve">römischen Tempel beschränkten Inhalt dem geplanten Buch über Roms Bauten.[23] </w:t>
      </w:r>
    </w:p>
    <w:p w:rsidR="00307781" w:rsidRDefault="003456B8">
      <w:pPr>
        <w:spacing w:line="276" w:lineRule="auto"/>
        <w:ind w:firstLine="284"/>
      </w:pPr>
      <w:r>
        <w:t xml:space="preserve">Der heute nahezu vergessene, Musikfreunden vielleicht noch aufgrund der ihm gewidmeten </w:t>
      </w:r>
      <w:r>
        <w:rPr>
          <w:i/>
        </w:rPr>
        <w:t xml:space="preserve">Missa Papae Marcelli </w:t>
      </w:r>
      <w:r>
        <w:t xml:space="preserve">Palestrinas bekannte </w:t>
      </w:r>
      <w:r w:rsidR="00743576">
        <w:t xml:space="preserve">Marcello Cervini war nicht nur </w:t>
      </w:r>
      <w:r>
        <w:t xml:space="preserve">bedeutender Kirchenpolitiker und </w:t>
      </w:r>
      <w:r w:rsidR="00743576">
        <w:t>anerkannter Mathematiker, sondern beschäftigte sich u.a. </w:t>
      </w:r>
      <w:r>
        <w:t xml:space="preserve">auch </w:t>
      </w:r>
      <w:r w:rsidR="00743576">
        <w:t>mit der Kalenderreform: Sein Schüler Ugo Buoncompagni sollte diese später als Papst Gregor XIII. mit dem nach ihm benannten, noch heute weitgehend unverändert gültigen Kalender einführen</w:t>
      </w:r>
      <w:r>
        <w:t>, an dem u.a. auch der bereits erwähnte Egnazio Danti mitwirkte</w:t>
      </w:r>
      <w:r w:rsidR="00743576">
        <w:t xml:space="preserve">. Cervini war aber auch als erster Kardinal leitender Bibliothekar der </w:t>
      </w:r>
      <w:r w:rsidR="00743576">
        <w:rPr>
          <w:rStyle w:val="pplri8t-1"/>
        </w:rPr>
        <w:t>Biblioteca</w:t>
      </w:r>
      <w:r w:rsidR="00743576">
        <w:t xml:space="preserve"> </w:t>
      </w:r>
      <w:r w:rsidR="00743576">
        <w:rPr>
          <w:rStyle w:val="pplri8t-1"/>
        </w:rPr>
        <w:t>Apo</w:t>
      </w:r>
      <w:r w:rsidR="00743576">
        <w:rPr>
          <w:rStyle w:val="pplri8t-1"/>
        </w:rPr>
        <w:softHyphen/>
        <w:t>stolica Vaticana</w:t>
      </w:r>
      <w:r w:rsidR="00743576">
        <w:rPr>
          <w:rStyle w:val="pplri8t-1"/>
          <w:i w:val="0"/>
        </w:rPr>
        <w:t xml:space="preserve">, </w:t>
      </w:r>
      <w:r w:rsidR="00743576">
        <w:t>auf deren Geschichte er durch seine inten</w:t>
      </w:r>
      <w:r w:rsidR="00743576">
        <w:softHyphen/>
        <w:t>sive Ankaufspolitik prägenden Einfluss ausübte.[24] Als Vertreter des Papstes leitete er über meh</w:t>
      </w:r>
      <w:r w:rsidR="00743576">
        <w:softHyphen/>
        <w:t xml:space="preserve">rere Jahre das Konzil von Trient und </w:t>
      </w:r>
      <w:r>
        <w:t xml:space="preserve">setzte sich – wie später Gregor XIII. – für die Wiedervereinigung mit der Ostkirche ein. Außerdem </w:t>
      </w:r>
      <w:r w:rsidR="00743576">
        <w:t xml:space="preserve">war </w:t>
      </w:r>
      <w:r>
        <w:t xml:space="preserve">er </w:t>
      </w:r>
      <w:r w:rsidR="00743576">
        <w:t>nicht zu</w:t>
      </w:r>
      <w:r w:rsidR="00743576">
        <w:softHyphen/>
        <w:t xml:space="preserve">letzt </w:t>
      </w:r>
      <w:r>
        <w:t>am</w:t>
      </w:r>
      <w:r w:rsidR="00743576">
        <w:t xml:space="preserve"> Studien der Antike und insbesondere der Archi</w:t>
      </w:r>
      <w:r w:rsidR="00743576">
        <w:softHyphen/>
        <w:t>tektur besonders interessiert.[25] So plante Vignola für ihn bspw. </w:t>
      </w:r>
      <w:r>
        <w:t>d</w:t>
      </w:r>
      <w:r w:rsidR="00743576">
        <w:t>en Umbau des familiären Landsitzes zu einer ide</w:t>
      </w:r>
      <w:r w:rsidR="00743576">
        <w:softHyphen/>
        <w:t>altypischen</w:t>
      </w:r>
      <w:r>
        <w:t xml:space="preserve"> </w:t>
      </w:r>
      <w:r w:rsidR="00743576">
        <w:t xml:space="preserve">Villa.[26] </w:t>
      </w:r>
    </w:p>
    <w:p w:rsidR="00307781" w:rsidRDefault="00743576">
      <w:pPr>
        <w:spacing w:line="276" w:lineRule="auto"/>
        <w:ind w:firstLine="284"/>
      </w:pPr>
      <w:r>
        <w:t>Die Auffindung einer großen Zahl weiterer anonymer Architekturzeichnungen aus der Mitte des 16. Jahrhunderts, die sich aufgrund der Zeichnerhände, dokumentierten Bau</w:t>
      </w:r>
      <w:r>
        <w:softHyphen/>
        <w:t>werke und gegenseitiger Verweise innerhalb der Zeichnun</w:t>
      </w:r>
      <w:r>
        <w:softHyphen/>
        <w:t xml:space="preserve">gen als dem </w:t>
      </w:r>
      <w:r>
        <w:rPr>
          <w:i/>
        </w:rPr>
        <w:t>Accademia</w:t>
      </w:r>
      <w:r>
        <w:t>-Projekt zurechenbar erwiesen, legte es nahe, auch in den Gothaer Zeichnungen nach Merkma</w:t>
      </w:r>
      <w:r>
        <w:softHyphen/>
        <w:t xml:space="preserve">len zu suchen, die möglicherweise auf Informationen zurück gehen, welche diesen Antikenstudien entstammen könnten.[27] Denn der seit Dirk Jansens Forschungen nun durchaus </w:t>
      </w:r>
      <w:r w:rsidR="003B6FED">
        <w:t xml:space="preserve">auch </w:t>
      </w:r>
      <w:r>
        <w:t>als Architekt zu bezeichnende, aber äußerst vielseitige Stra</w:t>
      </w:r>
      <w:r>
        <w:softHyphen/>
        <w:t>da dürfte sich gerade für diese Aktivitäten in Rom beson</w:t>
      </w:r>
      <w:r>
        <w:softHyphen/>
        <w:t>ders interessiert haben.</w:t>
      </w:r>
    </w:p>
    <w:p w:rsidR="00307781" w:rsidRDefault="00743576" w:rsidP="00B61220">
      <w:pPr>
        <w:spacing w:line="276" w:lineRule="auto"/>
      </w:pPr>
      <w:r>
        <w:lastRenderedPageBreak/>
        <w:t xml:space="preserve">Eine vollständige Rekonstruktion des europaweiten Netz-werkes aller ca. 200 in das </w:t>
      </w:r>
      <w:r>
        <w:rPr>
          <w:i/>
        </w:rPr>
        <w:t>Accademia-</w:t>
      </w:r>
      <w:r>
        <w:t>Projekt invol</w:t>
      </w:r>
      <w:r>
        <w:softHyphen/>
        <w:t>vierten Personen, kann m.E. nur im Rahmen eines selbst wiederum internationalen und interdisziplinären For</w:t>
      </w:r>
      <w:r>
        <w:softHyphen/>
        <w:t>schungsvorhabens geleistet werden. Dabei wären die netz</w:t>
      </w:r>
      <w:r>
        <w:softHyphen/>
        <w:t>werkartigen Beziehun-gen zwischen den Quellen(gruppen) wie bspw. Architektur- und Münzzeichnungen, Inschriften- und Manuskriptsamm-lungen usw. ebenso zu untersuchen, wie diejenigen zwischen den Personen selbst.</w:t>
      </w:r>
    </w:p>
    <w:p w:rsidR="00307781" w:rsidRDefault="00743576">
      <w:pPr>
        <w:spacing w:line="276" w:lineRule="auto"/>
        <w:ind w:firstLine="284"/>
      </w:pPr>
      <w:r>
        <w:t>D</w:t>
      </w:r>
      <w:r w:rsidR="00A66D69">
        <w:t>as Folgende soll</w:t>
      </w:r>
      <w:r>
        <w:t xml:space="preserve"> einen Mosaikstein dazu beitragen, indem aufzuzeigen</w:t>
      </w:r>
      <w:r w:rsidR="00A66D69">
        <w:t xml:space="preserve"> versucht wird</w:t>
      </w:r>
      <w:r>
        <w:t>, dass die gründliche Erschließung und Auswertung der noch weitge</w:t>
      </w:r>
      <w:r>
        <w:softHyphen/>
        <w:t xml:space="preserve">hend unerschlossenen Quellen aus dem Umkreis der </w:t>
      </w:r>
      <w:r>
        <w:rPr>
          <w:rStyle w:val="pplri8t-1"/>
        </w:rPr>
        <w:t>Acca</w:t>
      </w:r>
      <w:r>
        <w:rPr>
          <w:rStyle w:val="pplri8t-1"/>
        </w:rPr>
        <w:softHyphen/>
        <w:t xml:space="preserve">demia </w:t>
      </w:r>
      <w:r>
        <w:rPr>
          <w:rStyle w:val="pplri8t-1"/>
          <w:i w:val="0"/>
        </w:rPr>
        <w:t xml:space="preserve">nicht nur </w:t>
      </w:r>
      <w:r>
        <w:t xml:space="preserve">unser Verständnis der Antikenrezeption in der Renaissance, sondern möglicherweise sogar der römischen Antike selbst in vielen Punkten zu bereichern, wenn nicht sogar zu verändern vermag. Denn zumindest in Bezug auf die antike Architektur Roms lässt sich schon jetzt sagen, dass die Dokumentation der in der Renaissance noch viel besser erhaltenen Bauten Roms einige Korrekturen an heutigen Auffassungen in Archäologie und historischer Bauforschung erfordern </w:t>
      </w:r>
      <w:r w:rsidR="00A66D69">
        <w:t>wird</w:t>
      </w:r>
      <w:r>
        <w:t xml:space="preserve">. </w:t>
      </w:r>
    </w:p>
    <w:p w:rsidR="00307781" w:rsidRDefault="00743576">
      <w:pPr>
        <w:pStyle w:val="noindent"/>
        <w:spacing w:line="276" w:lineRule="auto"/>
        <w:rPr>
          <w:b/>
          <w:i/>
        </w:rPr>
      </w:pPr>
      <w:r>
        <w:rPr>
          <w:b/>
        </w:rPr>
        <w:t xml:space="preserve">2. Stradas </w:t>
      </w:r>
      <w:r>
        <w:rPr>
          <w:b/>
          <w:i/>
        </w:rPr>
        <w:t xml:space="preserve">Magnum ac Novum Opus </w:t>
      </w:r>
    </w:p>
    <w:p w:rsidR="00307781" w:rsidRDefault="00307781">
      <w:pPr>
        <w:pStyle w:val="noindent"/>
        <w:spacing w:line="276" w:lineRule="auto"/>
      </w:pPr>
    </w:p>
    <w:p w:rsidR="00425059" w:rsidRDefault="00743576">
      <w:pPr>
        <w:pStyle w:val="noindent"/>
        <w:spacing w:line="276" w:lineRule="auto"/>
      </w:pPr>
      <w:r>
        <w:t>Die 29 erhaltenen von ursprünglich 30 Bänden [28] umfas</w:t>
      </w:r>
      <w:r>
        <w:softHyphen/>
        <w:t>sen jeweils über bzw. mehrere hundert Folio-Blätter, von denen jedes nur eine Münzdarstellung trägt</w:t>
      </w:r>
      <w:r w:rsidR="00425059">
        <w:t xml:space="preserve">. Diese wurden </w:t>
      </w:r>
      <w:r>
        <w:t>auf ein ein</w:t>
      </w:r>
      <w:r>
        <w:softHyphen/>
        <w:t xml:space="preserve">heitliches Maß von ca. einem römischen </w:t>
      </w:r>
      <w:r>
        <w:rPr>
          <w:rStyle w:val="pplri8t-1"/>
        </w:rPr>
        <w:t xml:space="preserve">Palmo </w:t>
      </w:r>
      <w:r>
        <w:t>(= 22,34 cm) vergrößert</w:t>
      </w:r>
      <w:r w:rsidR="00425059">
        <w:t>, so dass sie viel mehr Details zeigen können, als den Münzen selbst zu entnehmen gewesen wäre</w:t>
      </w:r>
      <w:r>
        <w:t>.</w:t>
      </w:r>
    </w:p>
    <w:p w:rsidR="00307781" w:rsidRDefault="00743576" w:rsidP="00425059">
      <w:pPr>
        <w:pStyle w:val="noindent"/>
        <w:spacing w:line="276" w:lineRule="auto"/>
        <w:ind w:firstLine="284"/>
      </w:pPr>
      <w:r>
        <w:t>Die Bände kamen infolge der Wir</w:t>
      </w:r>
      <w:r>
        <w:softHyphen/>
        <w:t>ren des dreißigjährigen Krieges aus München nach Go</w:t>
      </w:r>
      <w:r>
        <w:softHyphen/>
        <w:t xml:space="preserve">tha. Nach München waren sie wiederum aus dem Besitz </w:t>
      </w:r>
      <w:r w:rsidR="00F523C5">
        <w:t>Hans</w:t>
      </w:r>
      <w:r>
        <w:t xml:space="preserve"> Jakob Fuggers gelangt, </w:t>
      </w:r>
      <w:r>
        <w:lastRenderedPageBreak/>
        <w:t>dessen Sammlungen der mit ihm befreundete Bayernherz</w:t>
      </w:r>
      <w:r w:rsidR="005A0935">
        <w:t>o</w:t>
      </w:r>
      <w:r>
        <w:t>g Albrecht V. auf</w:t>
      </w:r>
      <w:r w:rsidR="005A0935">
        <w:t>ge</w:t>
      </w:r>
      <w:r>
        <w:t>kauft hatte, nachdem Fugger öffentlich seinen Privatbankrott erklär</w:t>
      </w:r>
      <w:r w:rsidR="005A0935">
        <w:t>en musste</w:t>
      </w:r>
      <w:r>
        <w:t>, um das international operierende Bankhaus seiner Fami</w:t>
      </w:r>
      <w:r>
        <w:softHyphen/>
        <w:t>lie nicht durch die ausbleibenden Kreditrückzahlungen Karls V. und seines Sohnes Philipps II. zu ruinieren. Der of</w:t>
      </w:r>
      <w:r>
        <w:softHyphen/>
        <w:t>fiziell mittellos</w:t>
      </w:r>
      <w:r w:rsidR="005A0935">
        <w:t>e</w:t>
      </w:r>
      <w:r>
        <w:t xml:space="preserve"> Fugger selbst wurde von Albrecht V. übri</w:t>
      </w:r>
      <w:r>
        <w:softHyphen/>
        <w:t xml:space="preserve">gens als </w:t>
      </w:r>
      <w:r w:rsidR="005A0935">
        <w:t>»</w:t>
      </w:r>
      <w:r>
        <w:t>Hofantiquar</w:t>
      </w:r>
      <w:r w:rsidR="005A0935">
        <w:t>«</w:t>
      </w:r>
      <w:r>
        <w:t xml:space="preserve"> zur Betreuung dieser Sammlungen angestellt.</w:t>
      </w:r>
    </w:p>
    <w:p w:rsidR="00307781" w:rsidRDefault="00743576">
      <w:pPr>
        <w:pStyle w:val="noindent"/>
        <w:spacing w:line="276" w:lineRule="auto"/>
        <w:ind w:firstLine="284"/>
      </w:pPr>
      <w:r>
        <w:t xml:space="preserve">Fuggers Sammlungen inklusive seiner umfangreichen Bibliothek, zu deren Aufbau Strada als Fuggers Agent und Aufkäufer in Italien einen entscheidenden Beitrag </w:t>
      </w:r>
      <w:r w:rsidR="005A0935">
        <w:t>ge</w:t>
      </w:r>
      <w:r>
        <w:t>leistet</w:t>
      </w:r>
      <w:r w:rsidR="005A0935">
        <w:t xml:space="preserve"> hatt</w:t>
      </w:r>
      <w:r>
        <w:t>e, bildeten also den Grundstock oder zumindest einen wesentlichen Kern für die heut</w:t>
      </w:r>
      <w:r w:rsidR="005A0935">
        <w:t>e</w:t>
      </w:r>
      <w:r>
        <w:t xml:space="preserve"> berühmten bayerischen Sammlungen. Für sie ließ Albrecht V. in der Münchner Residenz das </w:t>
      </w:r>
      <w:r>
        <w:rPr>
          <w:i/>
        </w:rPr>
        <w:t xml:space="preserve">Antiquarium </w:t>
      </w:r>
      <w:r>
        <w:t>errichten, als dessen Architekt nach den Forschungen Dirk Jansens zweifellos Jacopo Strada angese</w:t>
      </w:r>
      <w:r>
        <w:softHyphen/>
        <w:t xml:space="preserve">hen werden muss, der somit für einen der ersten und größten Museums- und Bibliotheksbauten zumindest nördlich der Alpen verantwortlich zeichnet. Das </w:t>
      </w:r>
      <w:r>
        <w:rPr>
          <w:rStyle w:val="pplri8t-1"/>
        </w:rPr>
        <w:t>Magnum</w:t>
      </w:r>
      <w:r>
        <w:t xml:space="preserve"> </w:t>
      </w:r>
      <w:r>
        <w:rPr>
          <w:rStyle w:val="pplri8t-1"/>
        </w:rPr>
        <w:t xml:space="preserve">ac Novum Opus </w:t>
      </w:r>
      <w:r>
        <w:t xml:space="preserve">wird im ersten erhaltenen Inventar der </w:t>
      </w:r>
      <w:r w:rsidR="005A0935">
        <w:t xml:space="preserve">Münchner </w:t>
      </w:r>
      <w:r>
        <w:t xml:space="preserve">Sammlungen von 1592 an erster Stelle genannt </w:t>
      </w:r>
      <w:r w:rsidR="005A0935">
        <w:t>–</w:t>
      </w:r>
      <w:r>
        <w:t xml:space="preserve"> vermutlich, weil es als kostbarstes Besitztum angesehen wurde.</w:t>
      </w:r>
    </w:p>
    <w:p w:rsidR="00307781" w:rsidRDefault="00743576">
      <w:pPr>
        <w:pStyle w:val="noindent"/>
        <w:spacing w:line="276" w:lineRule="auto"/>
        <w:ind w:firstLine="284"/>
      </w:pPr>
      <w:r>
        <w:t>Wie erwähnt, eilte Strada 1553 sofort nach der Druckle</w:t>
      </w:r>
      <w:r>
        <w:softHyphen/>
        <w:t xml:space="preserve">gung seines </w:t>
      </w:r>
      <w:r>
        <w:rPr>
          <w:rStyle w:val="pplri8t-1"/>
        </w:rPr>
        <w:t xml:space="preserve">Bildnisvitenbuchs </w:t>
      </w:r>
      <w:r>
        <w:t>über die römischen Kaiser und ihre Familien von Lyon nach Rom, um an den Sitzun</w:t>
      </w:r>
      <w:r>
        <w:softHyphen/>
        <w:t xml:space="preserve">gen jener </w:t>
      </w:r>
      <w:r>
        <w:rPr>
          <w:rStyle w:val="pplri8t-1"/>
        </w:rPr>
        <w:t xml:space="preserve">eruditissima Accademia </w:t>
      </w:r>
      <w:r>
        <w:t>teilzunehmen, in der sei</w:t>
      </w:r>
      <w:r>
        <w:softHyphen/>
        <w:t>ner Aufzählung nach 20 verschiedene Berufssparten vertre</w:t>
      </w:r>
      <w:r>
        <w:softHyphen/>
        <w:t>ten waren: Philologen und Dichter, Mathematiker und Geo</w:t>
      </w:r>
      <w:r>
        <w:softHyphen/>
        <w:t xml:space="preserve">meter, Architekten und Künstler, Ärzte u.v.a.m. </w:t>
      </w:r>
    </w:p>
    <w:p w:rsidR="00307781" w:rsidRDefault="00307781">
      <w:pPr>
        <w:pStyle w:val="noindent"/>
        <w:spacing w:line="276" w:lineRule="auto"/>
        <w:jc w:val="center"/>
      </w:pPr>
    </w:p>
    <w:p w:rsidR="00307781" w:rsidRDefault="00307781">
      <w:pPr>
        <w:pStyle w:val="noindent"/>
        <w:spacing w:line="276" w:lineRule="auto"/>
        <w:jc w:val="center"/>
      </w:pPr>
    </w:p>
    <w:p w:rsidR="00314F15" w:rsidRDefault="00314F15">
      <w:pPr>
        <w:pStyle w:val="noindent"/>
        <w:spacing w:line="276" w:lineRule="auto"/>
        <w:jc w:val="center"/>
      </w:pPr>
    </w:p>
    <w:p w:rsidR="00314F15" w:rsidRDefault="00314F15">
      <w:pPr>
        <w:pStyle w:val="noindent"/>
        <w:spacing w:line="276" w:lineRule="auto"/>
        <w:jc w:val="center"/>
        <w:rPr>
          <w:sz w:val="18"/>
          <w:szCs w:val="18"/>
        </w:rPr>
      </w:pPr>
    </w:p>
    <w:p w:rsidR="00307781" w:rsidRDefault="00314F15">
      <w:pPr>
        <w:pStyle w:val="noindent"/>
        <w:spacing w:line="276" w:lineRule="auto"/>
        <w:jc w:val="center"/>
      </w:pPr>
      <w:r>
        <w:rPr>
          <w:noProof/>
        </w:rPr>
        <w:lastRenderedPageBreak/>
        <w:drawing>
          <wp:anchor distT="0" distB="0" distL="0" distR="0" simplePos="0" relativeHeight="3" behindDoc="0" locked="0" layoutInCell="1" allowOverlap="1">
            <wp:simplePos x="0" y="0"/>
            <wp:positionH relativeFrom="column">
              <wp:posOffset>-229443</wp:posOffset>
            </wp:positionH>
            <wp:positionV relativeFrom="paragraph">
              <wp:posOffset>250</wp:posOffset>
            </wp:positionV>
            <wp:extent cx="3420110" cy="4789170"/>
            <wp:effectExtent l="0" t="0" r="0" b="0"/>
            <wp:wrapSquare wrapText="largest"/>
            <wp:docPr id="2"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2"/>
                    <pic:cNvPicPr>
                      <a:picLocks noChangeAspect="1" noChangeArrowheads="1"/>
                    </pic:cNvPicPr>
                  </pic:nvPicPr>
                  <pic:blipFill>
                    <a:blip r:embed="rId8"/>
                    <a:stretch>
                      <a:fillRect/>
                    </a:stretch>
                  </pic:blipFill>
                  <pic:spPr bwMode="auto">
                    <a:xfrm>
                      <a:off x="0" y="0"/>
                      <a:ext cx="3420110" cy="4789170"/>
                    </a:xfrm>
                    <a:prstGeom prst="rect">
                      <a:avLst/>
                    </a:prstGeom>
                  </pic:spPr>
                </pic:pic>
              </a:graphicData>
            </a:graphic>
            <wp14:sizeRelH relativeFrom="margin">
              <wp14:pctWidth>0</wp14:pctWidth>
            </wp14:sizeRelH>
            <wp14:sizeRelV relativeFrom="margin">
              <wp14:pctHeight>0</wp14:pctHeight>
            </wp14:sizeRelV>
          </wp:anchor>
        </w:drawing>
      </w:r>
    </w:p>
    <w:p w:rsidR="00314F15" w:rsidRDefault="00314F15" w:rsidP="00020E0D">
      <w:pPr>
        <w:pStyle w:val="indent"/>
        <w:spacing w:line="276" w:lineRule="auto"/>
        <w:ind w:firstLine="0"/>
      </w:pPr>
      <w:r>
        <w:rPr>
          <w:sz w:val="18"/>
          <w:szCs w:val="18"/>
        </w:rPr>
        <w:t xml:space="preserve">Abb. 2: </w:t>
      </w:r>
      <w:r>
        <w:rPr>
          <w:rStyle w:val="pplri8t-1"/>
          <w:sz w:val="18"/>
          <w:szCs w:val="18"/>
        </w:rPr>
        <w:t>Magnum ac Novum Opus</w:t>
      </w:r>
      <w:r w:rsidRPr="00314F15">
        <w:rPr>
          <w:rStyle w:val="pplri8t-1"/>
          <w:i w:val="0"/>
          <w:sz w:val="18"/>
          <w:szCs w:val="18"/>
        </w:rPr>
        <w:t xml:space="preserve">, Titelblatt </w:t>
      </w:r>
      <w:r>
        <w:rPr>
          <w:rStyle w:val="pplri8t-1"/>
          <w:sz w:val="18"/>
          <w:szCs w:val="18"/>
        </w:rPr>
        <w:t xml:space="preserve"> </w:t>
      </w:r>
      <w:r>
        <w:rPr>
          <w:sz w:val="18"/>
          <w:szCs w:val="18"/>
        </w:rPr>
        <w:t>(Gotha, Bd. 1, Bl. V)</w:t>
      </w:r>
    </w:p>
    <w:p w:rsidR="00307781" w:rsidRDefault="00743576" w:rsidP="00020E0D">
      <w:pPr>
        <w:pStyle w:val="indent"/>
        <w:spacing w:line="276" w:lineRule="auto"/>
        <w:ind w:firstLine="0"/>
      </w:pPr>
      <w:r>
        <w:lastRenderedPageBreak/>
        <w:t xml:space="preserve">Diesem Kontext ist Stradas </w:t>
      </w:r>
      <w:r>
        <w:rPr>
          <w:rStyle w:val="pplri8t-1"/>
        </w:rPr>
        <w:t>Magnum ac Novum</w:t>
      </w:r>
      <w:r>
        <w:t xml:space="preserve"> </w:t>
      </w:r>
      <w:r>
        <w:rPr>
          <w:rStyle w:val="pplri8t-1"/>
        </w:rPr>
        <w:t xml:space="preserve">Opus </w:t>
      </w:r>
      <w:r>
        <w:t xml:space="preserve">zumindest in Teilen zuzurechnen: Obwohl die Arbeit daran </w:t>
      </w:r>
      <w:r w:rsidR="00592B21">
        <w:t xml:space="preserve">vermutlich </w:t>
      </w:r>
      <w:r>
        <w:t>im Auftrag Fuggers bereits vor Stradas Romaufenthalt begonnen hatte – spätestens 1550, wie er auf dem Titelblatt vermerkt –, dürfte sie dort entscheidende Impulse erfahren haben. Und es ist nicht auszuschließen, dass die Idee zu diesem Projekt selbst nicht nur auf die Förderung antiquarischer Studien durch Fuggers Vater Raimund zurück geht,[29] sondern dass man in Augsburg und Nürnberg spätestens seit 1547 durch die Veröffentlichung der Briefe Tolomeis von dem römischen Projekt gewusst haben dürfte – zumal Fugger mit einigen der Förderer des Projektes wie den Kardinälen Alessandro Farnese und Antoine Perrenot de Granvelle bereits seit sei</w:t>
      </w:r>
      <w:r>
        <w:softHyphen/>
        <w:t>nem Studium bei Andrea Alciato bekannt gewesen sein könnte. Bei Alciato hatten übrigens auch Jean Matal und Antonio Agustín studiert, bevor sie nach Florenz und vo</w:t>
      </w:r>
      <w:r w:rsidR="00592B21">
        <w:t>n</w:t>
      </w:r>
      <w:r>
        <w:t xml:space="preserve"> dort 1545 nach Rom gingen, wo der Jurist Agustín eine Stelle an der </w:t>
      </w:r>
      <w:r>
        <w:rPr>
          <w:rStyle w:val="pplri8t-1"/>
        </w:rPr>
        <w:t>Rota</w:t>
      </w:r>
      <w:r>
        <w:t>, dem päpstlichen Appellationsgericht, antrat. Obwohl sie in Florenz die kritische Edition der latei</w:t>
      </w:r>
      <w:r>
        <w:softHyphen/>
        <w:t xml:space="preserve">nischen Gesetzessammlung </w:t>
      </w:r>
      <w:r>
        <w:rPr>
          <w:i/>
        </w:rPr>
        <w:t>Codex Iustinianus</w:t>
      </w:r>
      <w:r>
        <w:t xml:space="preserve"> nahezu ab</w:t>
      </w:r>
      <w:r>
        <w:softHyphen/>
        <w:t>geschlossen hatten, gaben sie dieses Projekt bezeichnender</w:t>
      </w:r>
      <w:r>
        <w:softHyphen/>
        <w:t>weise in Rom sofort auf, um sich intensiv der Sammlung von Münzen (Agustín) und Inschriften (Matal) zuzuwenden.</w:t>
      </w:r>
      <w:r w:rsidR="00592B21">
        <w:t xml:space="preserve"> Erst vier Jahrzehnte später sollte Agustín die Edition des Codex vollenden, während Matal seit 1555 in Köln lebte und in enger Zusammenarbeit mit Amsterdamer Verlegern wichtige Beiträge zur entstehenden Kartographie lieferte.</w:t>
      </w:r>
    </w:p>
    <w:p w:rsidR="00592B21" w:rsidRDefault="00592B21" w:rsidP="00020E0D">
      <w:pPr>
        <w:pStyle w:val="indent"/>
        <w:spacing w:line="276" w:lineRule="auto"/>
        <w:ind w:firstLine="0"/>
      </w:pPr>
    </w:p>
    <w:p w:rsidR="00592B21" w:rsidRDefault="00592B21" w:rsidP="00020E0D">
      <w:pPr>
        <w:pStyle w:val="indent"/>
        <w:spacing w:line="276" w:lineRule="auto"/>
        <w:ind w:firstLine="0"/>
      </w:pPr>
    </w:p>
    <w:p w:rsidR="00592B21" w:rsidRDefault="00592B21" w:rsidP="00020E0D">
      <w:pPr>
        <w:pStyle w:val="indent"/>
        <w:spacing w:line="276" w:lineRule="auto"/>
        <w:ind w:firstLine="0"/>
      </w:pPr>
    </w:p>
    <w:p w:rsidR="00307781" w:rsidRDefault="00743576">
      <w:pPr>
        <w:pStyle w:val="noindent"/>
        <w:spacing w:line="276" w:lineRule="auto"/>
        <w:rPr>
          <w:b/>
        </w:rPr>
      </w:pPr>
      <w:r>
        <w:rPr>
          <w:b/>
        </w:rPr>
        <w:t>2.1 Die Wasserzeichen der Münzzeichnungen</w:t>
      </w:r>
    </w:p>
    <w:p w:rsidR="00307781" w:rsidRDefault="00307781">
      <w:pPr>
        <w:pStyle w:val="noindent"/>
        <w:spacing w:line="276" w:lineRule="auto"/>
      </w:pPr>
    </w:p>
    <w:p w:rsidR="00307781" w:rsidRDefault="00743576">
      <w:pPr>
        <w:pStyle w:val="noindent"/>
        <w:spacing w:line="276" w:lineRule="auto"/>
      </w:pPr>
      <w:r>
        <w:lastRenderedPageBreak/>
        <w:t xml:space="preserve">Die Papiere, welche Strada für sein </w:t>
      </w:r>
      <w:r>
        <w:rPr>
          <w:rStyle w:val="pplri8t-1"/>
        </w:rPr>
        <w:t>Magnum ac Novum</w:t>
      </w:r>
      <w:r>
        <w:t xml:space="preserve"> </w:t>
      </w:r>
      <w:r>
        <w:rPr>
          <w:rStyle w:val="pplri8t-1"/>
        </w:rPr>
        <w:t xml:space="preserve">Opus </w:t>
      </w:r>
      <w:r>
        <w:t xml:space="preserve">verwendete, stammen aus französischer, </w:t>
      </w:r>
      <w:r w:rsidR="00810B04">
        <w:t xml:space="preserve">italienischer und </w:t>
      </w:r>
      <w:r>
        <w:t>süddeutscher Produktion.[30] Während die 1.792 italie</w:t>
      </w:r>
      <w:r>
        <w:softHyphen/>
        <w:t>ni-schen Wasserzeichen sich auf 16 Marken verteilen und damit eine recht große Diversität aufweisen, beschränken sich die 1.929 französischen Wasserzeichen auf nur zwei Marken, wobei es sich in beiden Fällen um eine Weintraube handelt, die einmal in stilisiert rhombischer und einmal in eher natür-licher Form wiedergegeben ist. Es ist also durch</w:t>
      </w:r>
      <w:r>
        <w:softHyphen/>
        <w:t>aus vorstell-bar, dass beide Papiersorten derselben Herstel</w:t>
      </w:r>
      <w:r>
        <w:softHyphen/>
        <w:t>lung entstamm-ten, die somit eigentlich nur leicht divergie</w:t>
      </w:r>
      <w:r>
        <w:softHyphen/>
        <w:t>rende Versionen desselben Zeichens verwendet hätte. Auch die 516 deutschen Wasserzeichen verteilen sich auf nur drei Marken, unter wel-chen mit 468 Beispielen ein Traubenpo</w:t>
      </w:r>
      <w:r>
        <w:softHyphen/>
        <w:t xml:space="preserve">kal deutlich über-wiegt, </w:t>
      </w:r>
      <w:r w:rsidR="00810B04">
        <w:t xml:space="preserve">was eine </w:t>
      </w:r>
      <w:r>
        <w:t>Augsburg</w:t>
      </w:r>
      <w:r w:rsidR="00810B04">
        <w:t>er Herkunft des Papiers nahelegt</w:t>
      </w:r>
      <w:r>
        <w:t xml:space="preserve">. </w:t>
      </w:r>
    </w:p>
    <w:p w:rsidR="00307781" w:rsidRDefault="00743576">
      <w:pPr>
        <w:pStyle w:val="noindent"/>
        <w:spacing w:line="276" w:lineRule="auto"/>
        <w:ind w:firstLine="284"/>
      </w:pPr>
      <w:r>
        <w:t>Aus diesen Zahlen kann man allerdings nicht direkt ab</w:t>
      </w:r>
      <w:r>
        <w:softHyphen/>
        <w:t>leiten, wo die Zeichnungen auf diesen Blättern entstanden sind, denn es ist bekannt, dass Strada (später) wegen der besseren Qualität Papier aus Italien nach Deutschland importieren ließ, um dort bspw. seine Bücher darauf dru</w:t>
      </w:r>
      <w:r>
        <w:softHyphen/>
        <w:t>cken zu lassen. Tatsächlich sind einige der italienischen Pa</w:t>
      </w:r>
      <w:r>
        <w:softHyphen/>
        <w:t>piere von erstaunlicher Qualität: Sie sind auch nach ca. 450 Jahren noch nahezu weiß und von einer fast kartonartigen Festigkeit!</w:t>
      </w:r>
    </w:p>
    <w:p w:rsidR="00307781" w:rsidRDefault="00743576">
      <w:pPr>
        <w:pStyle w:val="noindent"/>
        <w:spacing w:line="276" w:lineRule="auto"/>
        <w:ind w:firstLine="284"/>
      </w:pPr>
      <w:r>
        <w:t>Die</w:t>
      </w:r>
      <w:r w:rsidR="000E56B4">
        <w:t xml:space="preserve"> italienischen</w:t>
      </w:r>
      <w:r>
        <w:t xml:space="preserve"> Papiersorten bzw. Wasserzeichen, die Strada ver</w:t>
      </w:r>
      <w:r>
        <w:softHyphen/>
        <w:t xml:space="preserve">wendete, finden sich auch in überwiegender Zahl unter den erwähnten Architekturzeichnungen aus dem Umkreis des Berliner </w:t>
      </w:r>
      <w:r>
        <w:rPr>
          <w:rStyle w:val="pplri8t-1"/>
        </w:rPr>
        <w:t>Codex Destailleur</w:t>
      </w:r>
      <w:r>
        <w:t xml:space="preserve"> </w:t>
      </w:r>
      <w:r>
        <w:rPr>
          <w:rStyle w:val="pplri8t-1"/>
        </w:rPr>
        <w:t>D.</w:t>
      </w:r>
      <w:r>
        <w:t>[31] Auch deren Zeichner dürften die hohe Qualität der Papiere geschätzt haben, da sie auch direkt während der Vermessungen vor Ort benutzt wurden</w:t>
      </w:r>
      <w:r w:rsidR="000E56B4">
        <w:t>, also eine gewisse Robustheit nötig war.</w:t>
      </w:r>
    </w:p>
    <w:p w:rsidR="00307781" w:rsidRDefault="00743576" w:rsidP="00637C11">
      <w:pPr>
        <w:pStyle w:val="noindent"/>
        <w:spacing w:line="276" w:lineRule="auto"/>
      </w:pPr>
      <w:r>
        <w:t xml:space="preserve">Es lässt sich also nicht mit Sicherheit sagen, ob jene Zeichnungen aus Stradas Werkstatt im </w:t>
      </w:r>
      <w:r>
        <w:rPr>
          <w:rStyle w:val="pplri8t-1"/>
        </w:rPr>
        <w:t>Magnus ac</w:t>
      </w:r>
      <w:r>
        <w:t xml:space="preserve"> </w:t>
      </w:r>
      <w:r>
        <w:rPr>
          <w:rStyle w:val="pplri8t-1"/>
        </w:rPr>
        <w:t>Novum Opus</w:t>
      </w:r>
      <w:r>
        <w:t xml:space="preserve">, welche auf italienischen Papieren vorliegen, auch tatsächlich </w:t>
      </w:r>
      <w:r>
        <w:lastRenderedPageBreak/>
        <w:t>und ausschließlich während seines Rom- und des anschließenden ca. einjährigen Venedig-Aufenthaltes entstanden sind. Es erscheint allerdings m.E. wenig wahrscheinlich, dass Strada nicht nur Vorlagen für diese Zeichnungen, soweit sie auf Münzen in römischen Sammlungen (vor allem Antonio Agustíns) zurückgehen, über die Alpen in den Norden transportiert haben sollte, sondern zusätzlich auch noch die Papiere, auf denen sie dann später dort erst angefertigt worden sein müssten. Es darf also vermutlich angenommen werden, dass zumindest die meisten der Zeichnungen auf italienischen Papieren auch in Italien ent</w:t>
      </w:r>
      <w:r>
        <w:softHyphen/>
        <w:t xml:space="preserve">standen. </w:t>
      </w:r>
    </w:p>
    <w:p w:rsidR="00307781" w:rsidRDefault="00743576">
      <w:pPr>
        <w:pStyle w:val="noindent"/>
        <w:spacing w:line="276" w:lineRule="auto"/>
        <w:ind w:firstLine="284"/>
      </w:pPr>
      <w:r>
        <w:t>Dasselbe lässt sich, allerdings mit etwas anderer Begrün-dung, über die französischen Papiere sagen: Ihre Qualität ist nämlich durchweg deutlich geringer als die der italieni</w:t>
      </w:r>
      <w:r>
        <w:softHyphen/>
        <w:t>schen, so dass man kaum annehmen können wird, dass Stra</w:t>
      </w:r>
      <w:r>
        <w:softHyphen/>
        <w:t>da sich diese Papiere nach Rom oder Süddeutschland (nach)liefern ließ, um sie dort erst mit den erhaltenen Zeich</w:t>
      </w:r>
      <w:r>
        <w:softHyphen/>
        <w:t>nungen zu versehen. Zumal er auch in diesem Fall erst eine Vielzahl von Vorzeichnungen hätte anfertigen und transpo</w:t>
      </w:r>
      <w:r>
        <w:softHyphen/>
        <w:t>ritieren (lassen) müssen. Eher wird man annehmen dürfen, dass zumindest die meisten Zeichnungen auf diesen franzö</w:t>
      </w:r>
      <w:r>
        <w:softHyphen/>
        <w:t>sischen Papieren tatsächlich auch in Frankreich, also wäh</w:t>
      </w:r>
      <w:r>
        <w:softHyphen/>
        <w:t>rend Stradas Aufent-halt in Lyon, entstanden. Dort gab es ja ebenfalls einige um-fangreichen Sammlungen antiker Mün</w:t>
      </w:r>
      <w:r>
        <w:softHyphen/>
        <w:t xml:space="preserve">zen, die er für das spätestens 1550 begonnene </w:t>
      </w:r>
      <w:r>
        <w:rPr>
          <w:rStyle w:val="pplri8t-1"/>
        </w:rPr>
        <w:t xml:space="preserve">Magnus ac Novum Opus </w:t>
      </w:r>
      <w:r>
        <w:t xml:space="preserve">genutzt haben dürfte. </w:t>
      </w:r>
    </w:p>
    <w:p w:rsidR="00307781" w:rsidRDefault="00743576">
      <w:pPr>
        <w:pStyle w:val="noindent"/>
        <w:spacing w:line="276" w:lineRule="auto"/>
        <w:ind w:firstLine="284"/>
      </w:pPr>
      <w:r>
        <w:t>Die geringe Zahl deutscher Wasserzeichen Augsburger Provenienz lässt dagegen den Schluss zu, dass die darauf befindlichen Zeichnungen tatsächlich in Augsburg entstanden, wo Strada vor allem Fuggers numismatische Samm</w:t>
      </w:r>
      <w:r>
        <w:softHyphen/>
        <w:t>lung genutzt haben wird</w:t>
      </w:r>
      <w:r w:rsidR="009F5995">
        <w:t>, wenn er sich zu Besprechungen mit seinem Auftraggeber dort aufhielt.</w:t>
      </w:r>
    </w:p>
    <w:p w:rsidR="00307781" w:rsidRDefault="00743576">
      <w:pPr>
        <w:pStyle w:val="noindent"/>
        <w:spacing w:line="276" w:lineRule="auto"/>
        <w:ind w:firstLine="284"/>
      </w:pPr>
      <w:r>
        <w:lastRenderedPageBreak/>
        <w:t>Auch wenn die Wasserzeichen also keine direkten und verlässlichen Rückschlüsse auf den Entstehungsort und da</w:t>
      </w:r>
      <w:r>
        <w:softHyphen/>
        <w:t>mit auch ggf. die Entstehungszeit der Zeichnungen während Stradas Aufenthalten dort zulassen, so stellen sie doch zu</w:t>
      </w:r>
      <w:r>
        <w:softHyphen/>
        <w:t>min-dest Indizien für eine Konzentration der numismati</w:t>
      </w:r>
      <w:r>
        <w:softHyphen/>
        <w:t>schen Ak-tivitäten Stradas auf Lyon und Rom dar. Die Tat</w:t>
      </w:r>
      <w:r>
        <w:softHyphen/>
        <w:t>sache, dass zumindest das Wiener Exemplar seiner aus</w:t>
      </w:r>
      <w:r>
        <w:softHyphen/>
        <w:t xml:space="preserve">führlichen Be-schreibung der kaiserzeitlichen Münzen in </w:t>
      </w:r>
      <w:r w:rsidR="0083492B">
        <w:t>elf</w:t>
      </w:r>
      <w:r>
        <w:t xml:space="preserve"> Bänden, die sog. </w:t>
      </w:r>
      <w:r>
        <w:rPr>
          <w:rStyle w:val="pplri8t-1"/>
        </w:rPr>
        <w:t>Diaskeué</w:t>
      </w:r>
      <w:r>
        <w:t>, ausschließlich ein einziges italie</w:t>
      </w:r>
      <w:r>
        <w:softHyphen/>
        <w:t xml:space="preserve">nisches Wasserzeichen zeigt – eine Armbrust in einem Kreis –, welches auch im </w:t>
      </w:r>
      <w:r>
        <w:rPr>
          <w:rStyle w:val="pplri8t-1"/>
        </w:rPr>
        <w:t xml:space="preserve">MaNO </w:t>
      </w:r>
      <w:r w:rsidR="0083492B">
        <w:rPr>
          <w:rStyle w:val="pplri8t-1"/>
          <w:i w:val="0"/>
        </w:rPr>
        <w:t xml:space="preserve">sowie den erwähnten Architekturzeichnungen </w:t>
      </w:r>
      <w:r>
        <w:t xml:space="preserve">häufig vorkommt, spricht dafür, dass das Konzept einer systematischen Sammlung und Ordnung der antiken Münzen in Form der Zeichnungen in Rom – und das heißt: im Kontext der </w:t>
      </w:r>
      <w:r>
        <w:rPr>
          <w:rStyle w:val="pplri8t-1"/>
        </w:rPr>
        <w:t xml:space="preserve">Accademia </w:t>
      </w:r>
      <w:r>
        <w:t>– ausge</w:t>
      </w:r>
      <w:r>
        <w:softHyphen/>
        <w:t>arbeitet wurde, vielleicht sogar dort erst entstanden ist.</w:t>
      </w:r>
    </w:p>
    <w:p w:rsidR="00307781" w:rsidRDefault="00307781">
      <w:pPr>
        <w:pStyle w:val="noindent"/>
        <w:spacing w:line="276" w:lineRule="auto"/>
        <w:ind w:firstLine="284"/>
      </w:pPr>
    </w:p>
    <w:p w:rsidR="00307781" w:rsidRDefault="00743576">
      <w:pPr>
        <w:pStyle w:val="noindent"/>
        <w:spacing w:line="276" w:lineRule="auto"/>
        <w:rPr>
          <w:b/>
        </w:rPr>
      </w:pPr>
      <w:r>
        <w:rPr>
          <w:b/>
        </w:rPr>
        <w:t>2.2 Die Zeichnerhände</w:t>
      </w:r>
    </w:p>
    <w:p w:rsidR="0030621E" w:rsidRDefault="0030621E">
      <w:pPr>
        <w:pStyle w:val="noindent"/>
        <w:spacing w:line="276" w:lineRule="auto"/>
        <w:rPr>
          <w:b/>
        </w:rPr>
      </w:pPr>
    </w:p>
    <w:p w:rsidR="00307781" w:rsidRDefault="00743576">
      <w:pPr>
        <w:pStyle w:val="noindent"/>
        <w:spacing w:line="276" w:lineRule="auto"/>
      </w:pPr>
      <w:r>
        <w:t>Es wurde bereits erwähnt, dass die Münzzeichnungen aus Stradas Werkstatt kaum individuelle Charakteristika zeigen, die es erlauben würden, sie präzise einzelnen Zeichnern zu</w:t>
      </w:r>
      <w:r>
        <w:softHyphen/>
        <w:t xml:space="preserve">zuweisen. Zwar gibt es deutliche Unterschiede zwischen einzelnen Darstellungen, die dafür sprechen, dass sie kaum von denselben Zeichnern angefertigt worden sein können, aber zwischen solchen Extremen liegen viele </w:t>
      </w:r>
      <w:r w:rsidR="0030621E">
        <w:t>»</w:t>
      </w:r>
      <w:r>
        <w:t>Zwischenstu</w:t>
      </w:r>
      <w:r>
        <w:softHyphen/>
        <w:t>fen</w:t>
      </w:r>
      <w:r w:rsidR="0030621E">
        <w:t>«d</w:t>
      </w:r>
      <w:r>
        <w:t>, in denen sich bestimmte Details eher der einen, andere eher einer anderen Hand zuschreiben lassen. Die offensicht</w:t>
      </w:r>
      <w:r>
        <w:softHyphen/>
        <w:t>liche Verwendung von Schablonen für die Anfertigung von Details und wiederkehrenden Elementen spricht zudem da</w:t>
      </w:r>
      <w:r>
        <w:softHyphen/>
        <w:t xml:space="preserve">für, sich den Herstellungsprozess der Zeichnungen fast als eine Art Manufaktur vorzustellen, in der </w:t>
      </w:r>
      <w:r w:rsidR="0030621E">
        <w:t xml:space="preserve">sich </w:t>
      </w:r>
      <w:r>
        <w:t xml:space="preserve">verschiedene, auf bestimmte Elemente oder Tätigkeiten </w:t>
      </w:r>
      <w:r w:rsidR="0030621E">
        <w:t xml:space="preserve">wie bspw. Lavieren </w:t>
      </w:r>
      <w:r>
        <w:lastRenderedPageBreak/>
        <w:t xml:space="preserve">spezialisierte Zeichner in einer koordinierten Abfolge die Arbeit in einer </w:t>
      </w:r>
      <w:r w:rsidR="0030621E">
        <w:t xml:space="preserve">fast </w:t>
      </w:r>
      <w:r>
        <w:t>seriel</w:t>
      </w:r>
      <w:r>
        <w:softHyphen/>
        <w:t>l</w:t>
      </w:r>
      <w:r w:rsidR="0030621E">
        <w:t xml:space="preserve"> zu nennend</w:t>
      </w:r>
      <w:r>
        <w:t xml:space="preserve">en Produktion teilten. Eine vergleichbare (frühe) derartige Arbeitsteilung dürfte ein innovatives Novum darstellen und passt zugleich zum Kontext der römischen </w:t>
      </w:r>
      <w:r>
        <w:rPr>
          <w:i/>
        </w:rPr>
        <w:t>Accademia</w:t>
      </w:r>
      <w:r>
        <w:t>, in der ebenfalls bei der Dokumentation der Monumente ar</w:t>
      </w:r>
      <w:r>
        <w:softHyphen/>
        <w:t>beitsteilig vorgegangen wurde.</w:t>
      </w:r>
    </w:p>
    <w:p w:rsidR="00307781" w:rsidRDefault="00743576">
      <w:pPr>
        <w:pStyle w:val="noindent"/>
        <w:spacing w:line="276" w:lineRule="auto"/>
        <w:ind w:firstLine="284"/>
        <w:rPr>
          <w:b/>
        </w:rPr>
      </w:pPr>
      <w:r>
        <w:t xml:space="preserve">Zugleich scheint Strada selbst zwar ebenfalls sehr viel ge-zeichnet zu haben, besonders im Falle </w:t>
      </w:r>
      <w:r w:rsidR="00335A04">
        <w:t xml:space="preserve">komplexer, </w:t>
      </w:r>
      <w:r>
        <w:t>detailreicher</w:t>
      </w:r>
      <w:r w:rsidR="00335A04">
        <w:t xml:space="preserve"> Motive</w:t>
      </w:r>
      <w:r>
        <w:t xml:space="preserve"> – bspw. Pferde oder figurenrei</w:t>
      </w:r>
      <w:r>
        <w:softHyphen/>
        <w:t>che Szenen –, es ist aber auch denkbar, dass er die zumeist jungen Künstler selbst ausbildete und auf einen einheitli</w:t>
      </w:r>
      <w:r>
        <w:softHyphen/>
        <w:t>chen Stil festlegte, dessen geographische Herkunft in Man</w:t>
      </w:r>
      <w:r>
        <w:softHyphen/>
        <w:t>tua zu situieren ist, Stradas Heimat</w:t>
      </w:r>
      <w:r w:rsidR="00335A04">
        <w:t>- und Ausbildungs</w:t>
      </w:r>
      <w:r>
        <w:t>stadt.[32]</w:t>
      </w:r>
      <w:r>
        <w:rPr>
          <w:b/>
        </w:rPr>
        <w:t xml:space="preserve"> </w:t>
      </w:r>
    </w:p>
    <w:p w:rsidR="00307781" w:rsidRDefault="00743576">
      <w:pPr>
        <w:pStyle w:val="noindent"/>
        <w:spacing w:line="276" w:lineRule="auto"/>
        <w:ind w:firstLine="284"/>
      </w:pPr>
      <w:r>
        <w:t>Bekanntlich wurden die 29 Gothaer Bände erst am Münchner Hof unter Albrecht V. gebunden, d.h., Stradas Zeichnungen kamen entweder als lose Blattsammlung nach München oder sie waren bereits für Fugger gebunden wor</w:t>
      </w:r>
      <w:r>
        <w:softHyphen/>
        <w:t xml:space="preserve">den, wobei diese Bindungen dann in München wieder </w:t>
      </w:r>
      <w:r w:rsidR="00FA385E">
        <w:t xml:space="preserve">hätten </w:t>
      </w:r>
      <w:r>
        <w:t>auf</w:t>
      </w:r>
      <w:r>
        <w:softHyphen/>
        <w:t>gelöst werden müssen. Dies erscheint jedoch wenig wahrscheinlich, da die Blätter keine Spuren einer erneuten Bindung aufweisen, denn dann sollte man zusätzliche Einstichlöcher erwarten dürfen. Allerdings ist es durch die enge, straffe Bindung in den seltensten Fällen wirklich mög</w:t>
      </w:r>
      <w:r>
        <w:softHyphen/>
        <w:t>lich, den Bindefalz einzusehen und dieses Kriterium anzu</w:t>
      </w:r>
      <w:r>
        <w:softHyphen/>
        <w:t>wenden. Es scheint aber ohnehin unwahrscheinlich, dass Al</w:t>
      </w:r>
      <w:r>
        <w:softHyphen/>
        <w:t>brecht V. angeordnet haben könnte, eine bereits in Fuggers Auftrag erfolgte, sicherlich aufwendige, prächtige Bindung aufzulö-sen, um sie kostspielig durch seine eigene zu erset</w:t>
      </w:r>
      <w:r>
        <w:softHyphen/>
        <w:t>zen.</w:t>
      </w:r>
    </w:p>
    <w:p w:rsidR="00307781" w:rsidRDefault="00743576">
      <w:pPr>
        <w:pStyle w:val="noindent"/>
        <w:spacing w:line="276" w:lineRule="auto"/>
        <w:ind w:firstLine="284"/>
      </w:pPr>
      <w:r>
        <w:t>Zum gegenwärtigen Zeitpunkt scheint also nichts dage</w:t>
      </w:r>
      <w:r>
        <w:softHyphen/>
        <w:t>gen zu sprechen, dass Albrecht V. Stradas Blätter in loser Form erhielt und erst gegen 1570 in Leder binden sowie mit seinem Porträt versehen ließ. Dies könnte auch diverse Ab</w:t>
      </w:r>
      <w:r>
        <w:softHyphen/>
        <w:t xml:space="preserve">weichungen von einer chronologisch korrekten Ordnung oder </w:t>
      </w:r>
      <w:r w:rsidR="009555C2">
        <w:lastRenderedPageBreak/>
        <w:t xml:space="preserve">bspw. </w:t>
      </w:r>
      <w:r>
        <w:t xml:space="preserve">das Fehlen </w:t>
      </w:r>
      <w:r w:rsidR="009555C2">
        <w:t>einiger</w:t>
      </w:r>
      <w:r>
        <w:t xml:space="preserve"> Münzzeichnungen zu erhaltenen Beschreibungen in der </w:t>
      </w:r>
      <w:r>
        <w:rPr>
          <w:i/>
        </w:rPr>
        <w:t>Diaskeué</w:t>
      </w:r>
      <w:r>
        <w:t xml:space="preserve"> sowie andere Unregelmäßigkeiten erklären.</w:t>
      </w:r>
    </w:p>
    <w:p w:rsidR="00307781" w:rsidRDefault="00307781">
      <w:pPr>
        <w:pStyle w:val="noindent"/>
        <w:spacing w:line="276" w:lineRule="auto"/>
        <w:ind w:firstLine="284"/>
      </w:pPr>
    </w:p>
    <w:p w:rsidR="00307781" w:rsidRDefault="00743576">
      <w:pPr>
        <w:pStyle w:val="noindent"/>
        <w:spacing w:line="276" w:lineRule="auto"/>
        <w:rPr>
          <w:b/>
        </w:rPr>
      </w:pPr>
      <w:r>
        <w:rPr>
          <w:b/>
        </w:rPr>
        <w:t>3. Ausgewählte Architekturdarstellungen</w:t>
      </w:r>
    </w:p>
    <w:p w:rsidR="00307781" w:rsidRDefault="00307781">
      <w:pPr>
        <w:pStyle w:val="noindent"/>
        <w:spacing w:line="276" w:lineRule="auto"/>
        <w:rPr>
          <w:b/>
        </w:rPr>
      </w:pPr>
    </w:p>
    <w:p w:rsidR="00307781" w:rsidRDefault="00743576">
      <w:pPr>
        <w:pStyle w:val="noindent"/>
        <w:spacing w:line="276" w:lineRule="auto"/>
      </w:pPr>
      <w:r>
        <w:t xml:space="preserve">Angesichts der Vielzahl der architekturbezogenen Münz-zeichnungen im </w:t>
      </w:r>
      <w:r>
        <w:rPr>
          <w:rStyle w:val="pplri8t-1"/>
        </w:rPr>
        <w:t xml:space="preserve">Magnum ac Novum Opus </w:t>
      </w:r>
      <w:r>
        <w:t>sowie auch den anderen Codices aus Stradas Werkstatt, die sich heute in London, Paris</w:t>
      </w:r>
      <w:r w:rsidR="00A76919">
        <w:t xml:space="preserve"> und </w:t>
      </w:r>
      <w:r>
        <w:t>Wien befinden – insgesamt weit über 300 Architekturdarstellungen – soll hier nur eine kleine Auswahl aus denjenigen Blättern behandelt werden, die ein</w:t>
      </w:r>
      <w:r>
        <w:softHyphen/>
        <w:t>deutig erkennbar römische Bauwerke zeigen und in beson</w:t>
      </w:r>
      <w:r>
        <w:softHyphen/>
        <w:t>derer Weise für deren Verständnis geeignet erscheinen.</w:t>
      </w:r>
    </w:p>
    <w:p w:rsidR="00307781" w:rsidRDefault="00743576">
      <w:pPr>
        <w:pStyle w:val="noindent"/>
        <w:spacing w:line="276" w:lineRule="auto"/>
        <w:ind w:firstLine="284"/>
      </w:pPr>
      <w:r>
        <w:t>Zuerst werden einige Darstel</w:t>
      </w:r>
      <w:r>
        <w:softHyphen/>
        <w:t xml:space="preserve">lungen ausführlicher mit Bezug zu den rekonstruierbaren archäologischen Kenntnissen der Renaissance im Vergleich mit dem aktuellen Forschungsstand zu diesen Monumenten vorgestellt. Anschließend folgt eine Reihe weiterer, kürzerer Darstellungen, mit denen skizziert werden soll, dass und wie man anhand der Münzzeichnungen Stradas bereits eine recht umfassende Übersicht über die Architektur des klassischen Roms der späten Republik und frühen Kaiserzeit erhalten konnte: Es scheint ein Ziel Stradas gewesen zu sein, mittels der Münzen und seiner Erklärungen dem Benutzer eine kulturhistorische Übersicht zur Geschichte Roms an die Hand </w:t>
      </w:r>
      <w:r w:rsidR="00B142E2">
        <w:t xml:space="preserve">zu </w:t>
      </w:r>
      <w:r>
        <w:t>geben, die über eine reine Dokumentation der antiken Münzen selbst hinaus ging und zu Vergleichen und Diskussionen Anregung bieten konnte.</w:t>
      </w:r>
    </w:p>
    <w:p w:rsidR="00307781" w:rsidRDefault="00743576">
      <w:pPr>
        <w:pStyle w:val="noindent"/>
        <w:spacing w:line="276" w:lineRule="auto"/>
        <w:ind w:firstLine="284"/>
      </w:pPr>
      <w:r>
        <w:t xml:space="preserve">Entgegen der in der Forschung bisher vorherrschenden Meinung, dass Stradas umfangreiche Hinzufügungen zu den Münzbildern ausschließlich seiner Phantasie entstammten, zeigte sich schon bei ersten Stichproben, dass er statt dessen wohl zusätzliche Quellen hinzugezogen haben dürfte, um das </w:t>
      </w:r>
      <w:r>
        <w:lastRenderedPageBreak/>
        <w:t>Erscheinungsbild der antiken Bauten genauer zu rekon</w:t>
      </w:r>
      <w:r>
        <w:softHyphen/>
        <w:t>stru-ieren</w:t>
      </w:r>
      <w:r w:rsidR="00791C5B">
        <w:t>,</w:t>
      </w:r>
      <w:r>
        <w:t xml:space="preserve"> als es aufgrund der originalen Münzen allein möglich gewesen wäre. Insofern weicht seine Methode also von der</w:t>
      </w:r>
      <w:r w:rsidR="00791C5B">
        <w:t xml:space="preserve"> sonst in der </w:t>
      </w:r>
      <w:r w:rsidR="00791C5B">
        <w:rPr>
          <w:i/>
        </w:rPr>
        <w:t xml:space="preserve">Accademia </w:t>
      </w:r>
      <w:r w:rsidR="00791C5B">
        <w:t>gebräuchlichen</w:t>
      </w:r>
      <w:r>
        <w:t xml:space="preserve"> ab: Während diese sich auf die möglichst exakte Wiedergabe der Objekte in ihrem Erhaltungszustand ohne eigene Hinzufügungen und Interpretationen beschränkte, erweitert Strada seine Darstellungen um viele Details oder Präzisierungen, die den Münzen selbst aufgrund ihrer gerin</w:t>
      </w:r>
      <w:r>
        <w:softHyphen/>
        <w:t>gen Größe nicht zu entnehmen sind. Diese Veränderungen wurde ihm von der späteren Forschung als Willkür ausge</w:t>
      </w:r>
      <w:r>
        <w:softHyphen/>
        <w:t xml:space="preserve">legt und seine Zeichnungen daher oft als von geringem Wert erachtet. </w:t>
      </w:r>
    </w:p>
    <w:p w:rsidR="00307781" w:rsidRDefault="00743576">
      <w:pPr>
        <w:pStyle w:val="noindent"/>
        <w:spacing w:line="276" w:lineRule="auto"/>
        <w:ind w:firstLine="284"/>
      </w:pPr>
      <w:r>
        <w:t>Es scheint also denkbar, dass diese Abweichungen vom originalen Münzbil</w:t>
      </w:r>
      <w:r w:rsidR="00791C5B">
        <w:t>d</w:t>
      </w:r>
      <w:r>
        <w:t xml:space="preserve"> </w:t>
      </w:r>
      <w:r w:rsidR="00042A86">
        <w:t>auf</w:t>
      </w:r>
      <w:r>
        <w:t xml:space="preserve"> zusätzlichen Kenntnissen</w:t>
      </w:r>
      <w:r w:rsidR="00042A86">
        <w:t xml:space="preserve"> beruhen</w:t>
      </w:r>
      <w:r>
        <w:t xml:space="preserve">, die sich Strada mit Hilfe anderer </w:t>
      </w:r>
      <w:r w:rsidR="00042A86">
        <w:t xml:space="preserve">Akademiker </w:t>
      </w:r>
      <w:r>
        <w:t>oder durch Vergleiche mit</w:t>
      </w:r>
      <w:r w:rsidR="00042A86">
        <w:t xml:space="preserve"> weiteren</w:t>
      </w:r>
      <w:r>
        <w:t xml:space="preserve"> Quellen erarbeitet hatte</w:t>
      </w:r>
      <w:r w:rsidR="00042A86">
        <w:t xml:space="preserve">. Zugleich sollten </w:t>
      </w:r>
      <w:r>
        <w:t xml:space="preserve"> </w:t>
      </w:r>
      <w:r w:rsidR="00042A86">
        <w:t xml:space="preserve">sie </w:t>
      </w:r>
      <w:r>
        <w:t>durch die Beschreibung</w:t>
      </w:r>
      <w:r w:rsidR="00042A86">
        <w:t>en</w:t>
      </w:r>
      <w:r>
        <w:t xml:space="preserve"> in Stradas </w:t>
      </w:r>
      <w:r>
        <w:rPr>
          <w:rStyle w:val="pplri8t-1"/>
        </w:rPr>
        <w:t>Diaskeué</w:t>
      </w:r>
      <w:hyperlink r:id="rId9" w:anchor="fn1x4" w:history="1">
        <w:r>
          <w:t xml:space="preserve"> so ergänzt werden, dass ihr Wert zu</w:t>
        </w:r>
        <w:r>
          <w:softHyphen/>
          <w:t>mindest für die Rekonstruktion der wissenschaftlichen Be</w:t>
        </w:r>
        <w:r>
          <w:softHyphen/>
          <w:t>schäftigung mit der Antike in der Renaissance h</w:t>
        </w:r>
        <w:r>
          <w:t>ö</w:t>
        </w:r>
        <w:r>
          <w:t xml:space="preserve">her </w:t>
        </w:r>
        <w:r w:rsidR="00042A86">
          <w:t xml:space="preserve">als angenommen </w:t>
        </w:r>
        <w:r>
          <w:t>sein dürfte.</w:t>
        </w:r>
        <w:r w:rsidR="00042A86" w:rsidRPr="00042A86">
          <w:t xml:space="preserve"> [33]</w:t>
        </w:r>
        <w:r>
          <w:t xml:space="preserve"> </w:t>
        </w:r>
      </w:hyperlink>
    </w:p>
    <w:p w:rsidR="00307781" w:rsidRDefault="00743576">
      <w:pPr>
        <w:pStyle w:val="noindent"/>
        <w:spacing w:line="276" w:lineRule="auto"/>
        <w:ind w:firstLine="284"/>
      </w:pPr>
      <w:r>
        <w:t xml:space="preserve">Ebenfalls zu berücksichtigen ist bei der Beurteilung des </w:t>
      </w:r>
      <w:r>
        <w:rPr>
          <w:rStyle w:val="pplri8t-1"/>
        </w:rPr>
        <w:t>Magnum</w:t>
      </w:r>
      <w:r>
        <w:t xml:space="preserve"> </w:t>
      </w:r>
      <w:r>
        <w:rPr>
          <w:rStyle w:val="pplri8t-1"/>
        </w:rPr>
        <w:t xml:space="preserve">ac Novum Opus </w:t>
      </w:r>
      <w:r>
        <w:t>aber auch, dass Strada laut seinem Titelblatt mit ihrer Erstellung um 1550, also vor seinem Romaufenthalt, begann und eher bemüht gewesen sein dürf</w:t>
      </w:r>
      <w:r>
        <w:softHyphen/>
        <w:t>te, für seinen Auftraggeber Fugger eine besonders repräsen</w:t>
      </w:r>
      <w:r>
        <w:softHyphen/>
        <w:t>tative Darstellung zu gestalten. Für dieses frühe Datum spricht auch der Umstand, dass ein großer Teil der Zeich</w:t>
      </w:r>
      <w:r>
        <w:softHyphen/>
        <w:t xml:space="preserve">nungen auf französischem Papier vorliegt, also vermutlich in Stradas Lyoner Zeit bis 1553 angefertigt worden sein dürfte. Das Werk war also vermutlich schon fortgeschritten, als Strada nach Rom kam: Eine Berücksichtigung der dort </w:t>
      </w:r>
      <w:r w:rsidR="00E7749E">
        <w:t xml:space="preserve">von der </w:t>
      </w:r>
      <w:r>
        <w:rPr>
          <w:rStyle w:val="pplri8t-1"/>
        </w:rPr>
        <w:t xml:space="preserve">Accademia </w:t>
      </w:r>
      <w:r>
        <w:t>entwickelten Methodik hätte also nicht nur zu einem Bruch in den Darstellungen ge</w:t>
      </w:r>
      <w:r>
        <w:softHyphen/>
        <w:t>führt,</w:t>
      </w:r>
      <w:r w:rsidR="00E7749E">
        <w:t xml:space="preserve"> vielleicht</w:t>
      </w:r>
      <w:r>
        <w:t xml:space="preserve"> sogar einen Neubeginn </w:t>
      </w:r>
      <w:r>
        <w:lastRenderedPageBreak/>
        <w:t>erzwungen, sondern wäre aufgrund des un</w:t>
      </w:r>
      <w:r>
        <w:softHyphen/>
        <w:t>terschiedlich guten Erhaltungszustandes verschiedener Münzen einer Prägung auch schwer zu realisieren gewesen. Immerhin zeigt Strada, dass er sich dieser Problematik be</w:t>
      </w:r>
      <w:r>
        <w:softHyphen/>
        <w:t xml:space="preserve">wusst war, indem er in der </w:t>
      </w:r>
      <w:r>
        <w:rPr>
          <w:rStyle w:val="pplri8t-1"/>
        </w:rPr>
        <w:t xml:space="preserve">Diaskeué </w:t>
      </w:r>
      <w:r>
        <w:t>häufig vermerkt, in welcher Sammlung er das besterhaltenste Exemplar einer Münze gesehen habe. Darunter spielt die Sammlung Agustíns</w:t>
      </w:r>
      <w:r w:rsidR="00E7749E">
        <w:t xml:space="preserve"> in Rom</w:t>
      </w:r>
      <w:r>
        <w:t>, die ca. 1.000 Münzen umfasst haben soll, eine sehr prominente Rolle. Eine Auswertung dieser durch Stra</w:t>
      </w:r>
      <w:r>
        <w:softHyphen/>
        <w:t>da überlieferten Informationen über die frühneuzeitlichen Münzsammlungen scheint daher durchaus vielversprechend</w:t>
      </w:r>
      <w:r w:rsidR="006B7B52">
        <w:t>.</w:t>
      </w:r>
    </w:p>
    <w:p w:rsidR="00307781" w:rsidRDefault="00743576">
      <w:pPr>
        <w:pStyle w:val="indent"/>
        <w:spacing w:line="276" w:lineRule="auto"/>
        <w:ind w:firstLine="0"/>
        <w:rPr>
          <w:b/>
        </w:rPr>
      </w:pPr>
      <w:r>
        <w:rPr>
          <w:b/>
        </w:rPr>
        <w:t>3.1 Curia Iulia auf dem Forum Romanum</w:t>
      </w:r>
    </w:p>
    <w:p w:rsidR="006B7B52" w:rsidRDefault="006B7B52">
      <w:pPr>
        <w:pStyle w:val="indent"/>
        <w:spacing w:line="276" w:lineRule="auto"/>
        <w:ind w:firstLine="0"/>
      </w:pPr>
    </w:p>
    <w:p w:rsidR="00307781" w:rsidRDefault="00743576">
      <w:pPr>
        <w:pStyle w:val="indent"/>
        <w:spacing w:line="276" w:lineRule="auto"/>
        <w:ind w:firstLine="0"/>
      </w:pPr>
      <w:r>
        <w:t xml:space="preserve">Die </w:t>
      </w:r>
      <w:r>
        <w:rPr>
          <w:rStyle w:val="pplri8t-1"/>
        </w:rPr>
        <w:t xml:space="preserve">Curia Iulia </w:t>
      </w:r>
      <w:r>
        <w:t xml:space="preserve">auf dem Forum Romanum wurde zur Zeit Iulius Caesars restauriert, weshalb der Senat in einem zum Komplex des Pompeius-Theaters gehörenden Saal auf dem Marsfeld tagte, </w:t>
      </w:r>
      <w:r w:rsidR="004901F6">
        <w:t>wo</w:t>
      </w:r>
      <w:r>
        <w:t xml:space="preserve"> Caesar ermordet wurde.[34] Die Curia auf dem Forum Romanum war seit dem 7. Jahrhundert als Kirche </w:t>
      </w:r>
      <w:r>
        <w:rPr>
          <w:rStyle w:val="pplri8t-1"/>
        </w:rPr>
        <w:t xml:space="preserve">Sant’Adriano </w:t>
      </w:r>
      <w:r>
        <w:t>dem heiligen Papst Hadrian geweiht und eine der Titularkirchen römischer Kar</w:t>
      </w:r>
      <w:r>
        <w:softHyphen/>
        <w:t>dinäle. Die heutige, scheinbar authentisch antike Form ver</w:t>
      </w:r>
      <w:r>
        <w:softHyphen/>
        <w:t>danken wir einem Rückbau der dreischiffigen Kirche zu ei</w:t>
      </w:r>
      <w:r>
        <w:softHyphen/>
        <w:t>ner riesigen Halle unter Mussolini. Aufgrund ihrer Verwendung als Kirche und des verloren gegangenen Wissens über die genaue Situation des Forums wurde dieser Bau zeitwei</w:t>
      </w:r>
      <w:r>
        <w:softHyphen/>
        <w:t>lig für den Tempel des Saturn gehalten</w:t>
      </w:r>
      <w:r w:rsidR="004901F6">
        <w:t>,</w:t>
      </w:r>
      <w:r>
        <w:t xml:space="preserve"> bspw. in einer Bei</w:t>
      </w:r>
      <w:r>
        <w:softHyphen/>
        <w:t xml:space="preserve">schrift zur folgenden Vermessung im Berliner </w:t>
      </w:r>
      <w:r>
        <w:rPr>
          <w:rStyle w:val="pplri8t-1"/>
        </w:rPr>
        <w:t>Codex De</w:t>
      </w:r>
      <w:r>
        <w:rPr>
          <w:rStyle w:val="pplri8t-1"/>
        </w:rPr>
        <w:softHyphen/>
        <w:t>stailleur D</w:t>
      </w:r>
      <w:r>
        <w:t>, die um die Mitte des 16. Jahrhunderts ent</w:t>
      </w:r>
      <w:r>
        <w:softHyphen/>
        <w:t>stand.</w:t>
      </w:r>
    </w:p>
    <w:p w:rsidR="00C80B94" w:rsidRDefault="00C80B94" w:rsidP="00C80B94">
      <w:pPr>
        <w:pStyle w:val="noindent"/>
        <w:spacing w:line="276" w:lineRule="auto"/>
        <w:ind w:right="240"/>
        <w:jc w:val="center"/>
      </w:pPr>
      <w:r>
        <w:t>Abb. 3: Rom</w:t>
      </w:r>
      <w:r>
        <w:t>, Forum Romanum</w:t>
      </w:r>
      <w:r>
        <w:t xml:space="preserve">: </w:t>
      </w:r>
      <w:r>
        <w:rPr>
          <w:i/>
          <w:iCs/>
        </w:rPr>
        <w:t>Curia Iulia</w:t>
      </w:r>
    </w:p>
    <w:p w:rsidR="00307781" w:rsidRDefault="00743576">
      <w:pPr>
        <w:pStyle w:val="noindent"/>
        <w:spacing w:line="276" w:lineRule="auto"/>
        <w:ind w:left="240" w:right="240"/>
        <w:jc w:val="center"/>
      </w:pPr>
      <w:r>
        <w:rPr>
          <w:noProof/>
        </w:rPr>
        <w:lastRenderedPageBreak/>
        <w:drawing>
          <wp:anchor distT="0" distB="0" distL="0" distR="0" simplePos="0" relativeHeight="4" behindDoc="0" locked="0" layoutInCell="1" allowOverlap="1">
            <wp:simplePos x="0" y="0"/>
            <wp:positionH relativeFrom="column">
              <wp:posOffset>394970</wp:posOffset>
            </wp:positionH>
            <wp:positionV relativeFrom="paragraph">
              <wp:posOffset>635</wp:posOffset>
            </wp:positionV>
            <wp:extent cx="2530475" cy="2787015"/>
            <wp:effectExtent l="0" t="0" r="0" b="0"/>
            <wp:wrapSquare wrapText="largest"/>
            <wp:docPr id="3"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3"/>
                    <pic:cNvPicPr>
                      <a:picLocks noChangeAspect="1" noChangeArrowheads="1"/>
                    </pic:cNvPicPr>
                  </pic:nvPicPr>
                  <pic:blipFill>
                    <a:blip r:embed="rId10"/>
                    <a:stretch>
                      <a:fillRect/>
                    </a:stretch>
                  </pic:blipFill>
                  <pic:spPr bwMode="auto">
                    <a:xfrm>
                      <a:off x="0" y="0"/>
                      <a:ext cx="2530475" cy="2787015"/>
                    </a:xfrm>
                    <a:prstGeom prst="rect">
                      <a:avLst/>
                    </a:prstGeom>
                  </pic:spPr>
                </pic:pic>
              </a:graphicData>
            </a:graphic>
          </wp:anchor>
        </w:drawing>
      </w: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307781" w:rsidRDefault="00307781">
      <w:pPr>
        <w:pStyle w:val="noindent"/>
        <w:spacing w:line="276" w:lineRule="auto"/>
        <w:ind w:left="240" w:right="240"/>
        <w:jc w:val="center"/>
      </w:pPr>
    </w:p>
    <w:p w:rsidR="006B7B52" w:rsidRDefault="006B7B52">
      <w:pPr>
        <w:pStyle w:val="noindent"/>
        <w:spacing w:line="276" w:lineRule="auto"/>
        <w:ind w:right="240"/>
        <w:jc w:val="center"/>
      </w:pPr>
    </w:p>
    <w:p w:rsidR="006B7B52" w:rsidRDefault="006B7B52">
      <w:pPr>
        <w:pStyle w:val="noindent"/>
        <w:spacing w:line="276" w:lineRule="auto"/>
        <w:ind w:right="240"/>
        <w:jc w:val="center"/>
      </w:pPr>
    </w:p>
    <w:p w:rsidR="004901F6" w:rsidRDefault="004901F6">
      <w:pPr>
        <w:pStyle w:val="noindent"/>
        <w:spacing w:line="276" w:lineRule="auto"/>
        <w:ind w:right="240"/>
        <w:jc w:val="center"/>
      </w:pPr>
    </w:p>
    <w:p w:rsidR="00307781" w:rsidRDefault="00743576">
      <w:pPr>
        <w:pStyle w:val="noindent"/>
        <w:spacing w:line="276" w:lineRule="auto"/>
        <w:ind w:right="240"/>
        <w:jc w:val="center"/>
      </w:pPr>
      <w:r>
        <w:rPr>
          <w:noProof/>
        </w:rPr>
        <w:drawing>
          <wp:anchor distT="0" distB="0" distL="0" distR="0" simplePos="0" relativeHeight="5" behindDoc="0" locked="0" layoutInCell="1" allowOverlap="1">
            <wp:simplePos x="0" y="0"/>
            <wp:positionH relativeFrom="column">
              <wp:posOffset>378460</wp:posOffset>
            </wp:positionH>
            <wp:positionV relativeFrom="paragraph">
              <wp:posOffset>-85725</wp:posOffset>
            </wp:positionV>
            <wp:extent cx="2534920" cy="2080260"/>
            <wp:effectExtent l="0" t="0" r="0" b="0"/>
            <wp:wrapSquare wrapText="largest"/>
            <wp:docPr id="4" name="Bi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4"/>
                    <pic:cNvPicPr>
                      <a:picLocks noChangeAspect="1" noChangeArrowheads="1"/>
                    </pic:cNvPicPr>
                  </pic:nvPicPr>
                  <pic:blipFill>
                    <a:blip r:embed="rId11"/>
                    <a:stretch>
                      <a:fillRect/>
                    </a:stretch>
                  </pic:blipFill>
                  <pic:spPr bwMode="auto">
                    <a:xfrm>
                      <a:off x="0" y="0"/>
                      <a:ext cx="2534920" cy="2080260"/>
                    </a:xfrm>
                    <a:prstGeom prst="rect">
                      <a:avLst/>
                    </a:prstGeom>
                  </pic:spPr>
                </pic:pic>
              </a:graphicData>
            </a:graphic>
          </wp:anchor>
        </w:drawing>
      </w:r>
    </w:p>
    <w:p w:rsidR="00307781" w:rsidRDefault="00307781">
      <w:pPr>
        <w:pStyle w:val="noindent"/>
        <w:spacing w:line="276" w:lineRule="auto"/>
        <w:ind w:right="240"/>
        <w:jc w:val="center"/>
      </w:pPr>
    </w:p>
    <w:p w:rsidR="00307781" w:rsidRDefault="00307781">
      <w:pPr>
        <w:pStyle w:val="indent"/>
        <w:spacing w:line="276" w:lineRule="auto"/>
        <w:ind w:firstLine="284"/>
      </w:pPr>
    </w:p>
    <w:p w:rsidR="00307781" w:rsidRDefault="00307781">
      <w:pPr>
        <w:pStyle w:val="indent"/>
        <w:spacing w:line="276" w:lineRule="auto"/>
        <w:ind w:firstLine="284"/>
      </w:pPr>
    </w:p>
    <w:p w:rsidR="00307781" w:rsidRDefault="00307781">
      <w:pPr>
        <w:pStyle w:val="indent"/>
        <w:spacing w:line="276" w:lineRule="auto"/>
        <w:ind w:firstLine="284"/>
      </w:pPr>
    </w:p>
    <w:p w:rsidR="00307781" w:rsidRDefault="00307781">
      <w:pPr>
        <w:pStyle w:val="indent"/>
        <w:spacing w:line="276" w:lineRule="auto"/>
        <w:ind w:firstLine="284"/>
      </w:pPr>
    </w:p>
    <w:p w:rsidR="00307781" w:rsidRDefault="00307781">
      <w:pPr>
        <w:pStyle w:val="indent"/>
        <w:spacing w:line="276" w:lineRule="auto"/>
        <w:ind w:firstLine="284"/>
      </w:pPr>
    </w:p>
    <w:p w:rsidR="00307781" w:rsidRDefault="00307781">
      <w:pPr>
        <w:pStyle w:val="indent"/>
        <w:spacing w:line="276" w:lineRule="auto"/>
        <w:ind w:firstLine="284"/>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C80B94" w:rsidRDefault="00C80B94" w:rsidP="00C80B94">
      <w:pPr>
        <w:pStyle w:val="noindent"/>
        <w:spacing w:line="276" w:lineRule="auto"/>
        <w:ind w:right="240"/>
        <w:jc w:val="center"/>
      </w:pPr>
      <w:r>
        <w:t xml:space="preserve">Abb. 4: Rom: </w:t>
      </w:r>
      <w:r>
        <w:rPr>
          <w:i/>
          <w:iCs/>
        </w:rPr>
        <w:t>Curia Iulia</w:t>
      </w:r>
      <w:r>
        <w:t xml:space="preserve">  </w:t>
      </w:r>
      <w:r>
        <w:t>(</w:t>
      </w:r>
      <w:r>
        <w:t>Rekonstruktion</w:t>
      </w:r>
      <w:r>
        <w:t>)</w:t>
      </w:r>
    </w:p>
    <w:p w:rsidR="00307781" w:rsidRDefault="00743576">
      <w:pPr>
        <w:pStyle w:val="noindent"/>
        <w:spacing w:line="276" w:lineRule="auto"/>
        <w:jc w:val="center"/>
      </w:pPr>
      <w:r>
        <w:rPr>
          <w:noProof/>
        </w:rPr>
        <w:lastRenderedPageBreak/>
        <w:drawing>
          <wp:anchor distT="0" distB="0" distL="0" distR="0" simplePos="0" relativeHeight="6" behindDoc="0" locked="0" layoutInCell="1" allowOverlap="1">
            <wp:simplePos x="0" y="0"/>
            <wp:positionH relativeFrom="column">
              <wp:align>center</wp:align>
            </wp:positionH>
            <wp:positionV relativeFrom="paragraph">
              <wp:posOffset>635</wp:posOffset>
            </wp:positionV>
            <wp:extent cx="3086100" cy="4267835"/>
            <wp:effectExtent l="0" t="0" r="0" b="0"/>
            <wp:wrapSquare wrapText="largest"/>
            <wp:docPr id="5"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5"/>
                    <pic:cNvPicPr>
                      <a:picLocks noChangeAspect="1" noChangeArrowheads="1"/>
                    </pic:cNvPicPr>
                  </pic:nvPicPr>
                  <pic:blipFill>
                    <a:blip r:embed="rId12"/>
                    <a:stretch>
                      <a:fillRect/>
                    </a:stretch>
                  </pic:blipFill>
                  <pic:spPr bwMode="auto">
                    <a:xfrm>
                      <a:off x="0" y="0"/>
                      <a:ext cx="3086100" cy="4267835"/>
                    </a:xfrm>
                    <a:prstGeom prst="rect">
                      <a:avLst/>
                    </a:prstGeom>
                  </pic:spPr>
                </pic:pic>
              </a:graphicData>
            </a:graphic>
          </wp:anchor>
        </w:drawing>
      </w:r>
    </w:p>
    <w:p w:rsidR="004901F6" w:rsidRDefault="00743576" w:rsidP="004901F6">
      <w:pPr>
        <w:pStyle w:val="noindent"/>
        <w:spacing w:line="276" w:lineRule="auto"/>
        <w:jc w:val="center"/>
        <w:rPr>
          <w:sz w:val="18"/>
          <w:szCs w:val="18"/>
        </w:rPr>
      </w:pPr>
      <w:r>
        <w:rPr>
          <w:sz w:val="18"/>
          <w:szCs w:val="18"/>
        </w:rPr>
        <w:t xml:space="preserve">Abb. 5: Berlin, Kunstbibliothek SMB-SPK: Codex Destailleur D (HDZ 4151, Bl. 7 </w:t>
      </w:r>
      <w:r>
        <w:rPr>
          <w:rStyle w:val="pplri8t-1"/>
          <w:sz w:val="18"/>
          <w:szCs w:val="18"/>
        </w:rPr>
        <w:t>recto</w:t>
      </w:r>
      <w:r>
        <w:rPr>
          <w:rStyle w:val="pplri8t-1"/>
          <w:i w:val="0"/>
          <w:iCs w:val="0"/>
          <w:sz w:val="18"/>
          <w:szCs w:val="18"/>
        </w:rPr>
        <w:t>, Ausschnitt</w:t>
      </w:r>
      <w:r>
        <w:rPr>
          <w:sz w:val="18"/>
          <w:szCs w:val="18"/>
        </w:rPr>
        <w:t>)</w:t>
      </w:r>
    </w:p>
    <w:p w:rsidR="004901F6" w:rsidRDefault="004901F6" w:rsidP="004901F6">
      <w:pPr>
        <w:pStyle w:val="noindent"/>
        <w:spacing w:line="276" w:lineRule="auto"/>
        <w:rPr>
          <w:szCs w:val="20"/>
        </w:rPr>
      </w:pPr>
    </w:p>
    <w:p w:rsidR="00307781" w:rsidRPr="004901F6" w:rsidRDefault="00743576" w:rsidP="004901F6">
      <w:pPr>
        <w:pStyle w:val="noindent"/>
        <w:spacing w:line="276" w:lineRule="auto"/>
      </w:pPr>
      <w:r>
        <w:rPr>
          <w:szCs w:val="20"/>
        </w:rPr>
        <w:t>Die Vermessungszeichnung ist in mehrfacher Hinsicht bemerkenswert: So zeigt sie zwar ein damals offensichtlich noch vorhandenes Postament über dem rechten Giebelende,</w:t>
      </w:r>
    </w:p>
    <w:p w:rsidR="00307781" w:rsidRDefault="00743576">
      <w:pPr>
        <w:pStyle w:val="indent"/>
        <w:spacing w:line="276" w:lineRule="auto"/>
        <w:ind w:firstLine="0"/>
        <w:jc w:val="center"/>
        <w:rPr>
          <w:sz w:val="18"/>
          <w:szCs w:val="18"/>
        </w:rPr>
      </w:pPr>
      <w:r>
        <w:rPr>
          <w:noProof/>
          <w:sz w:val="18"/>
          <w:szCs w:val="18"/>
        </w:rPr>
        <w:lastRenderedPageBreak/>
        <w:drawing>
          <wp:anchor distT="0" distB="0" distL="0" distR="0" simplePos="0" relativeHeight="7" behindDoc="0" locked="0" layoutInCell="1" allowOverlap="1">
            <wp:simplePos x="0" y="0"/>
            <wp:positionH relativeFrom="column">
              <wp:posOffset>455930</wp:posOffset>
            </wp:positionH>
            <wp:positionV relativeFrom="paragraph">
              <wp:posOffset>2113915</wp:posOffset>
            </wp:positionV>
            <wp:extent cx="2289175" cy="2087880"/>
            <wp:effectExtent l="0" t="0" r="0" b="0"/>
            <wp:wrapSquare wrapText="largest"/>
            <wp:docPr id="6" name="Bil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6"/>
                    <pic:cNvPicPr>
                      <a:picLocks noChangeAspect="1" noChangeArrowheads="1"/>
                    </pic:cNvPicPr>
                  </pic:nvPicPr>
                  <pic:blipFill>
                    <a:blip r:embed="rId13"/>
                    <a:stretch>
                      <a:fillRect/>
                    </a:stretch>
                  </pic:blipFill>
                  <pic:spPr bwMode="auto">
                    <a:xfrm>
                      <a:off x="0" y="0"/>
                      <a:ext cx="2289175" cy="2087880"/>
                    </a:xfrm>
                    <a:prstGeom prst="rect">
                      <a:avLst/>
                    </a:prstGeom>
                  </pic:spPr>
                </pic:pic>
              </a:graphicData>
            </a:graphic>
          </wp:anchor>
        </w:drawing>
      </w:r>
      <w:r>
        <w:rPr>
          <w:noProof/>
          <w:sz w:val="18"/>
          <w:szCs w:val="18"/>
        </w:rPr>
        <w:drawing>
          <wp:anchor distT="0" distB="0" distL="0" distR="0" simplePos="0" relativeHeight="8" behindDoc="0" locked="0" layoutInCell="1" allowOverlap="1">
            <wp:simplePos x="0" y="0"/>
            <wp:positionH relativeFrom="column">
              <wp:align>center</wp:align>
            </wp:positionH>
            <wp:positionV relativeFrom="paragraph">
              <wp:posOffset>635</wp:posOffset>
            </wp:positionV>
            <wp:extent cx="3086100" cy="5177790"/>
            <wp:effectExtent l="0" t="0" r="0" b="0"/>
            <wp:wrapSquare wrapText="largest"/>
            <wp:docPr id="7" name="Bil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7"/>
                    <pic:cNvPicPr>
                      <a:picLocks noChangeAspect="1" noChangeArrowheads="1"/>
                    </pic:cNvPicPr>
                  </pic:nvPicPr>
                  <pic:blipFill>
                    <a:blip r:embed="rId14"/>
                    <a:stretch>
                      <a:fillRect/>
                    </a:stretch>
                  </pic:blipFill>
                  <pic:spPr bwMode="auto">
                    <a:xfrm>
                      <a:off x="0" y="0"/>
                      <a:ext cx="3086100" cy="5177790"/>
                    </a:xfrm>
                    <a:prstGeom prst="rect">
                      <a:avLst/>
                    </a:prstGeom>
                  </pic:spPr>
                </pic:pic>
              </a:graphicData>
            </a:graphic>
          </wp:anchor>
        </w:drawing>
      </w:r>
    </w:p>
    <w:p w:rsidR="00307781" w:rsidRDefault="00743576">
      <w:pPr>
        <w:pStyle w:val="indent"/>
        <w:spacing w:line="276" w:lineRule="auto"/>
        <w:ind w:firstLine="284"/>
        <w:jc w:val="center"/>
      </w:pPr>
      <w:r>
        <w:rPr>
          <w:sz w:val="18"/>
          <w:szCs w:val="18"/>
        </w:rPr>
        <w:t xml:space="preserve">Abb. 6: </w:t>
      </w:r>
      <w:r>
        <w:rPr>
          <w:i/>
          <w:iCs/>
          <w:sz w:val="18"/>
          <w:szCs w:val="18"/>
        </w:rPr>
        <w:t>Curia Iulia</w:t>
      </w:r>
      <w:r>
        <w:rPr>
          <w:sz w:val="18"/>
          <w:szCs w:val="18"/>
        </w:rPr>
        <w:t xml:space="preserve"> </w:t>
      </w:r>
      <w:r w:rsidR="004901F6">
        <w:rPr>
          <w:sz w:val="18"/>
          <w:szCs w:val="18"/>
        </w:rPr>
        <w:t>(</w:t>
      </w:r>
      <w:r>
        <w:rPr>
          <w:sz w:val="18"/>
          <w:szCs w:val="18"/>
        </w:rPr>
        <w:t>Gotha</w:t>
      </w:r>
      <w:r w:rsidR="001D47E4">
        <w:rPr>
          <w:sz w:val="18"/>
          <w:szCs w:val="18"/>
        </w:rPr>
        <w:t xml:space="preserve"> </w:t>
      </w:r>
      <w:r>
        <w:rPr>
          <w:sz w:val="18"/>
          <w:szCs w:val="18"/>
        </w:rPr>
        <w:t>Bd. 4, Bl. 169</w:t>
      </w:r>
      <w:r w:rsidR="004901F6">
        <w:rPr>
          <w:sz w:val="18"/>
          <w:szCs w:val="18"/>
        </w:rPr>
        <w:t>)</w:t>
      </w:r>
    </w:p>
    <w:p w:rsidR="00307781" w:rsidRDefault="001D47E4">
      <w:pPr>
        <w:pStyle w:val="indent"/>
        <w:spacing w:line="276" w:lineRule="auto"/>
        <w:ind w:firstLine="0"/>
      </w:pPr>
      <w:r>
        <w:rPr>
          <w:noProof/>
        </w:rPr>
        <w:lastRenderedPageBreak/>
        <w:drawing>
          <wp:anchor distT="0" distB="0" distL="0" distR="0" simplePos="0" relativeHeight="9" behindDoc="0" locked="0" layoutInCell="1" allowOverlap="1">
            <wp:simplePos x="0" y="0"/>
            <wp:positionH relativeFrom="column">
              <wp:posOffset>144499</wp:posOffset>
            </wp:positionH>
            <wp:positionV relativeFrom="paragraph">
              <wp:posOffset>1280223</wp:posOffset>
            </wp:positionV>
            <wp:extent cx="2762885" cy="2520315"/>
            <wp:effectExtent l="0" t="0" r="0" b="0"/>
            <wp:wrapSquare wrapText="largest"/>
            <wp:docPr id="8" name="Bil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8"/>
                    <pic:cNvPicPr>
                      <a:picLocks noChangeAspect="1" noChangeArrowheads="1"/>
                    </pic:cNvPicPr>
                  </pic:nvPicPr>
                  <pic:blipFill>
                    <a:blip r:embed="rId13"/>
                    <a:stretch>
                      <a:fillRect/>
                    </a:stretch>
                  </pic:blipFill>
                  <pic:spPr bwMode="auto">
                    <a:xfrm>
                      <a:off x="0" y="0"/>
                      <a:ext cx="2762885" cy="2520315"/>
                    </a:xfrm>
                    <a:prstGeom prst="rect">
                      <a:avLst/>
                    </a:prstGeom>
                  </pic:spPr>
                </pic:pic>
              </a:graphicData>
            </a:graphic>
          </wp:anchor>
        </w:drawing>
      </w:r>
      <w:r w:rsidR="00743576">
        <w:rPr>
          <w:szCs w:val="20"/>
        </w:rPr>
        <w:t>welches vermutlich einmal eine Statue getragen hatte, sowie die Stuckverkleidung, von der auch heute noch (geringere) Reste erhalten sind</w:t>
      </w:r>
      <w:r w:rsidR="004901F6">
        <w:rPr>
          <w:szCs w:val="20"/>
        </w:rPr>
        <w:t>. A</w:t>
      </w:r>
      <w:r w:rsidR="00743576">
        <w:t xml:space="preserve">ber sie zeigt </w:t>
      </w:r>
      <w:r w:rsidR="00743576">
        <w:rPr>
          <w:rStyle w:val="pplri8t-1"/>
        </w:rPr>
        <w:t xml:space="preserve">nicht </w:t>
      </w:r>
      <w:r w:rsidR="00743576">
        <w:t xml:space="preserve">die Pfostennlöcher in der Fassade, die trotz ihrer erheblichen und völlig </w:t>
      </w:r>
      <w:r w:rsidR="004901F6">
        <w:t>»</w:t>
      </w:r>
      <w:r w:rsidR="00743576">
        <w:t>unklassischen</w:t>
      </w:r>
      <w:r w:rsidR="004901F6">
        <w:t>«</w:t>
      </w:r>
      <w:r w:rsidR="00743576">
        <w:t xml:space="preserve"> handwerklichen Unregelmäßigkeit von der heutigen Archäologie als Spuren einer antiken </w:t>
      </w:r>
      <w:r w:rsidR="00743576">
        <w:rPr>
          <w:rStyle w:val="pplri8t-1"/>
        </w:rPr>
        <w:t>Porticus</w:t>
      </w:r>
      <w:r w:rsidR="00743576">
        <w:t>, also einer der Fassade vorgelagerten Säulenhalle interpretiert werden.</w:t>
      </w:r>
    </w:p>
    <w:p w:rsidR="001D47E4" w:rsidRDefault="001D47E4">
      <w:pPr>
        <w:pStyle w:val="noindent"/>
        <w:spacing w:line="276" w:lineRule="auto"/>
        <w:jc w:val="center"/>
      </w:pPr>
    </w:p>
    <w:p w:rsidR="00307781" w:rsidRDefault="00743576">
      <w:pPr>
        <w:pStyle w:val="noindent"/>
        <w:spacing w:line="276" w:lineRule="auto"/>
        <w:jc w:val="center"/>
      </w:pPr>
      <w:r>
        <w:rPr>
          <w:sz w:val="18"/>
          <w:szCs w:val="18"/>
        </w:rPr>
        <w:t xml:space="preserve">Abb. 7: Münze des Augustus mit Darstellung der </w:t>
      </w:r>
      <w:r>
        <w:rPr>
          <w:rStyle w:val="pplri8t-1"/>
          <w:sz w:val="18"/>
          <w:szCs w:val="18"/>
        </w:rPr>
        <w:t>Curia Iulia</w:t>
      </w:r>
      <w:r>
        <w:rPr>
          <w:sz w:val="18"/>
          <w:szCs w:val="18"/>
        </w:rPr>
        <w:t xml:space="preserve"> </w:t>
      </w:r>
    </w:p>
    <w:p w:rsidR="00307781" w:rsidRDefault="00743576">
      <w:pPr>
        <w:pStyle w:val="indent"/>
        <w:spacing w:line="276" w:lineRule="auto"/>
        <w:ind w:firstLine="284"/>
      </w:pPr>
      <w:r>
        <w:t>Die Darstellung von nur vier (!) Säulen auf der antiken Münze aus der Zeit des Augustus veranlasste bereits in den 1540er Jahren Kardinal Jean Du Bellay, damals Titularkar</w:t>
      </w:r>
      <w:r>
        <w:softHyphen/>
        <w:t xml:space="preserve">di-nal der Kirche Sant’Adriano, diese </w:t>
      </w:r>
      <w:r w:rsidR="001D47E4">
        <w:t xml:space="preserve">monumentalen Säulen </w:t>
      </w:r>
      <w:r>
        <w:t>durch Grabungen su</w:t>
      </w:r>
      <w:r>
        <w:softHyphen/>
        <w:t xml:space="preserve">chen zu lassen. Jedoch blieben diese Versuche erfolglos. Und auch die spätere Archäologie hat weder diese Säulen noch die dazugehörigen Fundamente im Podium </w:t>
      </w:r>
      <w:r>
        <w:lastRenderedPageBreak/>
        <w:t xml:space="preserve">vor der </w:t>
      </w:r>
      <w:r w:rsidRPr="001D47E4">
        <w:rPr>
          <w:i/>
        </w:rPr>
        <w:t>Cu</w:t>
      </w:r>
      <w:r w:rsidRPr="001D47E4">
        <w:rPr>
          <w:i/>
        </w:rPr>
        <w:softHyphen/>
        <w:t>ria</w:t>
      </w:r>
      <w:r>
        <w:t xml:space="preserve"> gefunden. Nichtsdestotrotz hielt dies die moderne Ar</w:t>
      </w:r>
      <w:r>
        <w:softHyphen/>
        <w:t>chäologie jedoch bis heute nicht davon ab, die Existenz ei</w:t>
      </w:r>
      <w:r>
        <w:softHyphen/>
        <w:t>ner verschwundenen Porticus als gesichertes Faktum in ihre Rekonstruktionen mit einzubeziehen.</w:t>
      </w:r>
    </w:p>
    <w:p w:rsidR="00307781" w:rsidRDefault="00743576">
      <w:pPr>
        <w:pStyle w:val="indent"/>
        <w:spacing w:line="276" w:lineRule="auto"/>
        <w:ind w:firstLine="284"/>
      </w:pPr>
      <w:r>
        <w:t xml:space="preserve">Dabei lässt sich die archäologische Forschung auch nicht von dem Umstand irritieren, dass die in der Münze gezeigte Reihe aus nur vier Säulen und einem sehr schmalen </w:t>
      </w:r>
      <w:r w:rsidR="001D47E4">
        <w:t>»</w:t>
      </w:r>
      <w:r>
        <w:t>Archi</w:t>
      </w:r>
      <w:r>
        <w:softHyphen/>
        <w:t>trav</w:t>
      </w:r>
      <w:r w:rsidR="001D47E4">
        <w:t>«</w:t>
      </w:r>
      <w:r>
        <w:t xml:space="preserve"> darüber besteht – sollte die Darstellung denn überhaupt halbwegs der </w:t>
      </w:r>
      <w:r w:rsidR="001D47E4">
        <w:t>antiken</w:t>
      </w:r>
      <w:r>
        <w:t xml:space="preserve"> Realität entsprechen. Diese Kolon</w:t>
      </w:r>
      <w:r>
        <w:softHyphen/>
        <w:t xml:space="preserve">nade ragte zudem noch deutlich über die Fassade der </w:t>
      </w:r>
      <w:r>
        <w:rPr>
          <w:rStyle w:val="pplri8t-1"/>
        </w:rPr>
        <w:t xml:space="preserve">Curia </w:t>
      </w:r>
      <w:r>
        <w:t xml:space="preserve">hinaus. Sollte der Medailleur in seiner Darstellung nicht mehrere weitere Säulen ‘unterschlagen’ haben, so ergäben sich damit </w:t>
      </w:r>
      <w:r w:rsidR="001D47E4">
        <w:t>Säulena</w:t>
      </w:r>
      <w:r>
        <w:t xml:space="preserve">bstände von mindestens </w:t>
      </w:r>
      <w:r w:rsidR="001D47E4">
        <w:t>sieben</w:t>
      </w:r>
      <w:r>
        <w:t xml:space="preserve"> bis </w:t>
      </w:r>
      <w:r w:rsidR="001D47E4">
        <w:t xml:space="preserve">acht </w:t>
      </w:r>
      <w:r>
        <w:t>Me</w:t>
      </w:r>
      <w:r>
        <w:softHyphen/>
        <w:t>tern</w:t>
      </w:r>
      <w:r w:rsidR="001D47E4">
        <w:t>, denn die Fassade ist 18 m breit</w:t>
      </w:r>
      <w:r>
        <w:t xml:space="preserve">. Dies ist weit mehr als bei antiken Bauten üblich und hätte unweigerlich zu statischen Problemen führen müssen: Denn ein steinerner Architrav dieser Länge ist undenkbar; ein hölzerner hätte immerhin auch noch die Last des in der Münze </w:t>
      </w:r>
      <w:r>
        <w:rPr>
          <w:rStyle w:val="pplri8t-1"/>
        </w:rPr>
        <w:t xml:space="preserve">nicht </w:t>
      </w:r>
      <w:r>
        <w:t>dargestellten, aber in den Rekonstruktionen aufgesetzten Pultdaches tragen müssen. Es ist also nicht ver</w:t>
      </w:r>
      <w:r>
        <w:softHyphen/>
        <w:t xml:space="preserve">wunderlich, wenn die modernen Rekonstruktion alle von mindestens </w:t>
      </w:r>
      <w:r w:rsidR="001D47E4">
        <w:t>acht</w:t>
      </w:r>
      <w:r>
        <w:t xml:space="preserve"> Säulen ausgehen</w:t>
      </w:r>
      <w:r w:rsidR="001D47E4">
        <w:t>. Sie decken</w:t>
      </w:r>
      <w:r>
        <w:t xml:space="preserve"> zudem auch nur die Ge</w:t>
      </w:r>
      <w:r>
        <w:softHyphen/>
        <w:t xml:space="preserve">samtbreite der Fassade ab, </w:t>
      </w:r>
      <w:r w:rsidR="001D47E4">
        <w:t xml:space="preserve">gehen </w:t>
      </w:r>
      <w:r>
        <w:t>aber nicht so deutlich wie in der Münzdarstellung über diese hinau</w:t>
      </w:r>
      <w:r w:rsidR="001D47E4">
        <w:t>s</w:t>
      </w:r>
      <w:r>
        <w:t>. Auch die Darstellung des Architravs als dünner Strich und das Fehlen jeglicher Andeutung eines Pultdaches, das doch si</w:t>
      </w:r>
      <w:r>
        <w:softHyphen/>
        <w:t>cherlich deutlich genug sichtbar gewesen sein muss, um ggf. auf der Münze zumindest angedeutet zu werden, hat die Au</w:t>
      </w:r>
      <w:r>
        <w:softHyphen/>
        <w:t>toren der modernen archäologischen Rekonstruktionen nicht in ihrer Interpretation irritiert</w:t>
      </w:r>
      <w:r w:rsidR="001D47E4">
        <w:t>…</w:t>
      </w:r>
      <w:r>
        <w:t xml:space="preserve"> </w:t>
      </w:r>
    </w:p>
    <w:p w:rsidR="00307781" w:rsidRDefault="00743576">
      <w:pPr>
        <w:pStyle w:val="indent"/>
        <w:spacing w:line="276" w:lineRule="auto"/>
        <w:ind w:firstLine="284"/>
      </w:pPr>
      <w:r>
        <w:t xml:space="preserve">Strada hingegen folgt in seiner Darstellung in dieser Hin-sicht genau der Münze. </w:t>
      </w:r>
      <w:r w:rsidR="00C60872">
        <w:t>Zwar</w:t>
      </w:r>
      <w:r>
        <w:t xml:space="preserve"> lässt er die anstel</w:t>
      </w:r>
      <w:r>
        <w:softHyphen/>
        <w:t xml:space="preserve">le eines Gebälks an der Fassade erscheinende Münzlegende «IMP CAESAR» fort: Man darf </w:t>
      </w:r>
      <w:r w:rsidR="00C60872">
        <w:t xml:space="preserve">aber </w:t>
      </w:r>
      <w:r>
        <w:t>sicher</w:t>
      </w:r>
      <w:r w:rsidR="00C60872">
        <w:t xml:space="preserve"> </w:t>
      </w:r>
      <w:r>
        <w:t xml:space="preserve">unterstellen, dass eine </w:t>
      </w:r>
      <w:r>
        <w:lastRenderedPageBreak/>
        <w:t xml:space="preserve">genaue Betrachtung des Bauwerks, wie sie sich auch in der Zeichnung im Berliner </w:t>
      </w:r>
      <w:r>
        <w:rPr>
          <w:rStyle w:val="pplri8t-1"/>
        </w:rPr>
        <w:t xml:space="preserve">Codex Destailleur D </w:t>
      </w:r>
      <w:r>
        <w:t>nieder</w:t>
      </w:r>
      <w:r>
        <w:softHyphen/>
        <w:t xml:space="preserve">schlägt, für den architektonisch gebildeten Strada klar </w:t>
      </w:r>
      <w:r>
        <w:rPr>
          <w:rStyle w:val="pplri8t-1"/>
        </w:rPr>
        <w:t>ge</w:t>
      </w:r>
      <w:r>
        <w:rPr>
          <w:rStyle w:val="pplri8t-1"/>
        </w:rPr>
        <w:softHyphen/>
        <w:t xml:space="preserve">gen </w:t>
      </w:r>
      <w:r>
        <w:t>die Existenz und also eine gerechtfertigte Rekonstrukti</w:t>
      </w:r>
      <w:r>
        <w:softHyphen/>
        <w:t>on eines solchen Schriftbandes sprach und er die Münzdar</w:t>
      </w:r>
      <w:r>
        <w:softHyphen/>
        <w:t>stellung also in dieser Hinsicht korrigierte. Ihm dürfte klar gewesen sein, dass diese «Inschrift» tatsächlich nur als Münzlegende, also eine Hinzufügung, zu deuten sei, mit der auf den Auftraggeber des Bauwerks oder seiner Wieder</w:t>
      </w:r>
      <w:r>
        <w:softHyphen/>
        <w:t>herstellung und der damit verbundenen Münzprägung ver</w:t>
      </w:r>
      <w:r>
        <w:softHyphen/>
        <w:t>wiesen werden sollte.</w:t>
      </w:r>
    </w:p>
    <w:p w:rsidR="00307781" w:rsidRDefault="00743576">
      <w:pPr>
        <w:pStyle w:val="indent"/>
        <w:spacing w:line="276" w:lineRule="auto"/>
        <w:ind w:firstLine="284"/>
      </w:pPr>
      <w:r>
        <w:t xml:space="preserve">Andererseits folgt Strada dem erhaltenen Bauwerk bzw. seiner Vermessung </w:t>
      </w:r>
      <w:r>
        <w:rPr>
          <w:rStyle w:val="pplri8t-1"/>
        </w:rPr>
        <w:t xml:space="preserve">nicht </w:t>
      </w:r>
      <w:r>
        <w:t>in der Form der drei Fassa</w:t>
      </w:r>
      <w:r>
        <w:softHyphen/>
        <w:t>denfenster: Während diese heute und vielleicht schon seit der Rekonstruktion unter Diocletian von flachen Bögen aus Ziegeln abgeschlossen werden, über denen sich in der Wand auch noch Entlastungsbögen befinden, zeigt Strada die Fenster ebenso wie die Münze als horizontal gerade abge</w:t>
      </w:r>
      <w:r>
        <w:softHyphen/>
        <w:t>schlossen. Auch in der Darstellung der Fensterbreite als ein</w:t>
      </w:r>
      <w:r>
        <w:softHyphen/>
        <w:t xml:space="preserve">heitlich weicht seine Zeichnung vom heutigen, vielleicht auf Diocletain – aber eigentlich mit Sicherheit erst auf die 20. Jahrhundert – zurück gehenden Baubefund ab, der in der Berliner Zeichnung mit Maßangaben dokumentiert ist. </w:t>
      </w:r>
    </w:p>
    <w:p w:rsidR="00307781" w:rsidRDefault="00743576">
      <w:pPr>
        <w:pStyle w:val="indent"/>
        <w:spacing w:line="276" w:lineRule="auto"/>
        <w:ind w:firstLine="284"/>
      </w:pPr>
      <w:r>
        <w:t>Zwei weitere Abweichungen zwischen der antiken Münzdarstellung und ihrer Wiedergabe durch Strada einer</w:t>
      </w:r>
      <w:r>
        <w:softHyphen/>
        <w:t>seits und den modernen Rekonstruktionen andererseits stel</w:t>
      </w:r>
      <w:r>
        <w:softHyphen/>
        <w:t>len die Reihe der – vermutlich ephemeren – Objekte, die den Giebel zwischen den drei Statuen zieren, sowie die Fi</w:t>
      </w:r>
      <w:r>
        <w:softHyphen/>
        <w:t>guren im Giebelfeld dar: Zwar findet sich von letzteren am heutigen Bau keine Spur mehr – und dies galt wohl auch schon in der Renaissance –, aber die Münze deutet zumin</w:t>
      </w:r>
      <w:r>
        <w:softHyphen/>
        <w:t xml:space="preserve">dest ein Relief an, während die modernen Rekonstruktionen darauf verzichten, obwohl kaum ein antiker Giebel </w:t>
      </w:r>
      <w:r>
        <w:rPr>
          <w:rStyle w:val="pplri8t-1"/>
        </w:rPr>
        <w:t xml:space="preserve">ohne </w:t>
      </w:r>
      <w:r>
        <w:t xml:space="preserve">eine solche Darstellung vorstellbar ist. </w:t>
      </w:r>
    </w:p>
    <w:p w:rsidR="00307781" w:rsidRDefault="00743576" w:rsidP="003674FF">
      <w:pPr>
        <w:pStyle w:val="indent"/>
        <w:spacing w:line="276" w:lineRule="auto"/>
        <w:ind w:firstLine="0"/>
      </w:pPr>
      <w:r>
        <w:lastRenderedPageBreak/>
        <w:t xml:space="preserve">Stradas scheinbar einfache Münzzeichnung folgt also </w:t>
      </w:r>
      <w:r>
        <w:rPr>
          <w:rStyle w:val="pplri8t-1"/>
        </w:rPr>
        <w:t>nicht</w:t>
      </w:r>
      <w:r>
        <w:t xml:space="preserve"> exakt der antiken Münzdarstellung, sondern kombi</w:t>
      </w:r>
      <w:r>
        <w:softHyphen/>
        <w:t>niert diese mit den seinerzeit zugänglichen Kenntnissen über den Bau und die antike römische Architektur allgemein (Giebelfeld, ggf. ephemere Verzierungen, Statuen). Er tut dies in einer Weise, die dem heute noch erschließbaren Er</w:t>
      </w:r>
      <w:r>
        <w:softHyphen/>
        <w:t>scheinungsbild des Baus zur Zeit des Augustus, also vor sei</w:t>
      </w:r>
      <w:r>
        <w:softHyphen/>
        <w:t>ner Rekonstruktion unter Diocletian nach einer Zerstörung durch ein Feuer, vermutlich genauer entspricht, als die z.T. sogar architektonisch/statisch unmöglichen Rekonstruktionen der modernen Archäologie. Dies erscheint angesichts des Umstandes, dass es sich um eines der zwar nicht archi</w:t>
      </w:r>
      <w:r>
        <w:softHyphen/>
        <w:t xml:space="preserve">tektonisch, jedoch historisch bedeutendsten Bauwerke auf dem </w:t>
      </w:r>
      <w:r>
        <w:rPr>
          <w:rStyle w:val="pplri8t-1"/>
        </w:rPr>
        <w:t xml:space="preserve">Forum Romanum </w:t>
      </w:r>
      <w:r>
        <w:t>und damit Roms handelt, einigerma</w:t>
      </w:r>
      <w:r>
        <w:softHyphen/>
        <w:t>ßen erstaunlich. Während man jede einzelne der Abweichungen Stradas vielleicht noch als Zu</w:t>
      </w:r>
      <w:r>
        <w:softHyphen/>
        <w:t xml:space="preserve">fall oder </w:t>
      </w:r>
      <w:r w:rsidR="005D7C7D">
        <w:t>»</w:t>
      </w:r>
      <w:r>
        <w:t>künstlerische Freiheit</w:t>
      </w:r>
      <w:r w:rsidR="005D7C7D">
        <w:t>«</w:t>
      </w:r>
      <w:r>
        <w:t xml:space="preserve"> erklären kann, scheint es ausgeschlossen, dass alle Abweichungen von der antiken Münze</w:t>
      </w:r>
      <w:r w:rsidR="005D7C7D">
        <w:t xml:space="preserve"> zusammen genommen</w:t>
      </w:r>
      <w:r>
        <w:t xml:space="preserve"> nicht </w:t>
      </w:r>
      <w:r w:rsidR="005D7C7D">
        <w:t xml:space="preserve">von Strada </w:t>
      </w:r>
      <w:r>
        <w:t>intendiert gewesen sein soll</w:t>
      </w:r>
      <w:r w:rsidR="005D7C7D">
        <w:t>t</w:t>
      </w:r>
      <w:r>
        <w:t>en.</w:t>
      </w:r>
    </w:p>
    <w:p w:rsidR="00307781" w:rsidRDefault="00743576">
      <w:pPr>
        <w:pStyle w:val="indent"/>
        <w:spacing w:line="276" w:lineRule="auto"/>
        <w:ind w:firstLine="284"/>
      </w:pPr>
      <w:r>
        <w:t>Damit lässt sich mit guten Gründen vermuten, dass Stra</w:t>
      </w:r>
      <w:r>
        <w:softHyphen/>
        <w:t>da (nicht nur) in diesem Fall seine Münzzeichnungen nicht als archäologisch präzise Dokumente der vorgefundenen Münze selbst verstand, sondern als Zusammenfassung ver</w:t>
      </w:r>
      <w:r>
        <w:softHyphen/>
        <w:t>fügbarer Informationen. Hierzu scheint er neben der antiken Münze auch Kenntnisse aus der Vermessung bzw. der ge</w:t>
      </w:r>
      <w:r>
        <w:softHyphen/>
        <w:t>nauen analytischen Betrachtung des Bauwerks unter Heran</w:t>
      </w:r>
      <w:r>
        <w:softHyphen/>
        <w:t>ziehung allgemeinerer architektonischer Kenntnisse über die römische Antike und möglicherweise sogar –</w:t>
      </w:r>
      <w:r w:rsidR="003A3A82">
        <w:t xml:space="preserve"> hier</w:t>
      </w:r>
      <w:r>
        <w:t>: negative – Grabungsergebnisse herangezogen zu ha</w:t>
      </w:r>
      <w:r>
        <w:softHyphen/>
        <w:t>ben</w:t>
      </w:r>
      <w:r w:rsidR="003A3A82">
        <w:t>. Aus diesen ist</w:t>
      </w:r>
      <w:r>
        <w:t xml:space="preserve"> jedoch </w:t>
      </w:r>
      <w:r>
        <w:rPr>
          <w:rStyle w:val="pplri8t-1"/>
        </w:rPr>
        <w:t xml:space="preserve">nicht </w:t>
      </w:r>
      <w:r>
        <w:t xml:space="preserve">zu schließen, dass es vor der </w:t>
      </w:r>
      <w:r>
        <w:rPr>
          <w:rStyle w:val="pplri8t-1"/>
        </w:rPr>
        <w:t>Curia</w:t>
      </w:r>
      <w:r>
        <w:t xml:space="preserve"> </w:t>
      </w:r>
      <w:r>
        <w:rPr>
          <w:rStyle w:val="pplri8t-1"/>
        </w:rPr>
        <w:t xml:space="preserve">Iulia </w:t>
      </w:r>
      <w:r>
        <w:t xml:space="preserve">nie eine Säulenreihe gegeben hat, sondern nur, dass diese zwar – vom Forum aus gesehen – vor der Fassade stand, jedoch nicht als </w:t>
      </w:r>
      <w:r>
        <w:lastRenderedPageBreak/>
        <w:t xml:space="preserve">Porticus oder </w:t>
      </w:r>
      <w:r w:rsidR="003A3A82">
        <w:t>p</w:t>
      </w:r>
      <w:r>
        <w:t>ergola-artiger Anbau mit der Fassade selbst verbunden war.</w:t>
      </w:r>
    </w:p>
    <w:p w:rsidR="00307781" w:rsidRDefault="00743576">
      <w:pPr>
        <w:pStyle w:val="indent"/>
        <w:spacing w:line="276" w:lineRule="auto"/>
        <w:ind w:firstLine="284"/>
      </w:pPr>
      <w:r>
        <w:t xml:space="preserve">Es scheint allerdings eher unwahrscheinlich bzw. dürfte kaum noch abschließend zu klären sein, ob diese Säulenstellung zum vor der </w:t>
      </w:r>
      <w:r>
        <w:rPr>
          <w:rStyle w:val="pplri8t-1"/>
        </w:rPr>
        <w:t>Curia</w:t>
      </w:r>
      <w:r>
        <w:t xml:space="preserve"> gelegenen </w:t>
      </w:r>
      <w:r>
        <w:rPr>
          <w:rStyle w:val="pplri8t-1"/>
        </w:rPr>
        <w:t xml:space="preserve">Comitium </w:t>
      </w:r>
      <w:r>
        <w:t>gehört ha</w:t>
      </w:r>
      <w:r>
        <w:softHyphen/>
        <w:t xml:space="preserve">ben könnte, einem freien, runden, befestigten Platz, auf dem sich der Senat vor der Errichtung </w:t>
      </w:r>
      <w:r w:rsidR="00257E7B">
        <w:t xml:space="preserve">der </w:t>
      </w:r>
      <w:r w:rsidR="00257E7B">
        <w:rPr>
          <w:i/>
        </w:rPr>
        <w:t xml:space="preserve">Curia </w:t>
      </w:r>
      <w:r>
        <w:t xml:space="preserve">traf und der wohl vom umgebenden Forum durch eine Art Abschrankung, nicht unähnlich dem Lettner </w:t>
      </w:r>
      <w:r w:rsidR="00257E7B">
        <w:t>spätantik-früh</w:t>
      </w:r>
      <w:r>
        <w:t>mittel</w:t>
      </w:r>
      <w:r>
        <w:softHyphen/>
        <w:t>alterlicher Kirchen, als besonderer Bezirk getrennt war. Ebenso ist nicht auszuschließen, dass die Säulenreihe tat</w:t>
      </w:r>
      <w:r>
        <w:softHyphen/>
        <w:t xml:space="preserve">sächlich auf dem Podium vor der </w:t>
      </w:r>
      <w:r>
        <w:rPr>
          <w:rStyle w:val="pplri8t-1"/>
        </w:rPr>
        <w:t xml:space="preserve">Curia </w:t>
      </w:r>
      <w:r>
        <w:t>stand, welches sich bemerkenswerter Weise, wie Ausgrabungen belegt haben, in ungefähr derselben Breite über die Fassade hinaus erstreck</w:t>
      </w:r>
      <w:r>
        <w:softHyphen/>
        <w:t>te, wie dies auf der Münze darstellt ist. Die Säulen hätten dann bspw. als Ehrenmotiv lediglich eine symbolische, no</w:t>
      </w:r>
      <w:r>
        <w:softHyphen/>
        <w:t>bilitierende, jedoch keine praktische, architektonische Funk</w:t>
      </w:r>
      <w:r>
        <w:softHyphen/>
        <w:t xml:space="preserve">tion gehabt. </w:t>
      </w:r>
    </w:p>
    <w:p w:rsidR="00307781" w:rsidRDefault="00743576">
      <w:pPr>
        <w:pStyle w:val="noindent"/>
        <w:spacing w:line="276" w:lineRule="auto"/>
        <w:rPr>
          <w:b/>
        </w:rPr>
      </w:pPr>
      <w:r>
        <w:rPr>
          <w:b/>
        </w:rPr>
        <w:t>3.2 Concordia-Tempel auf dem Forum Romanum</w:t>
      </w:r>
    </w:p>
    <w:p w:rsidR="00307781" w:rsidRDefault="00307781">
      <w:pPr>
        <w:pStyle w:val="noindent"/>
        <w:spacing w:line="276" w:lineRule="auto"/>
      </w:pPr>
    </w:p>
    <w:p w:rsidR="00307781" w:rsidRDefault="00743576">
      <w:pPr>
        <w:pStyle w:val="noindent"/>
        <w:spacing w:line="276" w:lineRule="auto"/>
      </w:pPr>
      <w:r>
        <w:t xml:space="preserve">Die Darstellungen des Concordia-Tempels, der sich am westlichen Ende des Forum Romanum direkt unterhalb des Kapitols befindet, sind deshalb besonders bemerkenswert, weil sie ein erstaunlich exaktes Bild der Frontalansicht des Tempels zeigen, aus der man durchaus auf seine T-förmige Struktur schließen kann, </w:t>
      </w:r>
      <w:r>
        <w:rPr>
          <w:rStyle w:val="pplri8t-1"/>
        </w:rPr>
        <w:t xml:space="preserve">obwohl </w:t>
      </w:r>
      <w:r>
        <w:t>das Fundament des Tem</w:t>
      </w:r>
      <w:r>
        <w:softHyphen/>
        <w:t>pels erst im 19. Jahrhundert freigelegt wurde. Strada konnte sich also bei seiner zeichnerischen Rekonstruktion nur auf die allerdings recht präzisen Darstellungen</w:t>
      </w:r>
      <w:r w:rsidR="008040C6">
        <w:t xml:space="preserve"> der</w:t>
      </w:r>
      <w:r>
        <w:t xml:space="preserve"> antiken Münzen selbst verlassen. Trotzdem bedurfte es sicherlich ei</w:t>
      </w:r>
      <w:r>
        <w:softHyphen/>
        <w:t>niger zusätzlicher Kenntnisse insbesondere zur römischen Architektur, um die Münzbilder so korrekt deuten zu kön</w:t>
      </w:r>
      <w:r>
        <w:softHyphen/>
        <w:t>nen.</w:t>
      </w:r>
    </w:p>
    <w:p w:rsidR="00307781" w:rsidRDefault="00743576">
      <w:pPr>
        <w:pStyle w:val="noindent"/>
        <w:spacing w:line="276" w:lineRule="auto"/>
        <w:ind w:firstLine="284"/>
      </w:pPr>
      <w:r>
        <w:lastRenderedPageBreak/>
        <w:t>Auffallend sind die Unterschiede zwischen den beiden hier wiedergegebenen Zeichnungen: Das erste Beispiel zeigt den Giebel mit einer bekrönenden Dreiergruppe, welche si</w:t>
      </w:r>
      <w:r>
        <w:softHyphen/>
        <w:t xml:space="preserve">cherlich als Darstellung der vergöttlichten </w:t>
      </w:r>
      <w:r w:rsidR="00BB1D6D">
        <w:t>»</w:t>
      </w:r>
      <w:r>
        <w:t>Einheit</w:t>
      </w:r>
      <w:r w:rsidR="00BB1D6D">
        <w:t>«</w:t>
      </w:r>
      <w:r>
        <w:t xml:space="preserve"> (</w:t>
      </w:r>
      <w:r>
        <w:rPr>
          <w:rStyle w:val="pplri8t-1"/>
        </w:rPr>
        <w:t>Con</w:t>
      </w:r>
      <w:r>
        <w:rPr>
          <w:rStyle w:val="pplri8t-1"/>
        </w:rPr>
        <w:softHyphen/>
        <w:t>cordia</w:t>
      </w:r>
      <w:r>
        <w:t xml:space="preserve">) der Römer interpretiert werden kann. Die Wände der seitlichen Cellae des Tempels sind </w:t>
      </w:r>
      <w:r w:rsidR="00BB1D6D">
        <w:t xml:space="preserve">dabei </w:t>
      </w:r>
      <w:r>
        <w:t>offen dargestellt und zeigen die Figuren zweier stehender, dem mittig sitzenden Kaiser huldigenden Genien oder Göttinnen.</w:t>
      </w:r>
    </w:p>
    <w:p w:rsidR="00BB1D6D" w:rsidRDefault="00743576">
      <w:pPr>
        <w:pStyle w:val="noindent"/>
        <w:spacing w:line="276" w:lineRule="auto"/>
        <w:ind w:firstLine="284"/>
      </w:pPr>
      <w:r>
        <w:t xml:space="preserve">Die zweite Darstellung dagegen zeigt </w:t>
      </w:r>
      <w:r w:rsidR="00BB1D6D">
        <w:t xml:space="preserve">deutlich realistischer </w:t>
      </w:r>
      <w:r>
        <w:t>die Seiten des Tempels geschlossen, und auf der Giebelspitze nur zwei Fi</w:t>
      </w:r>
      <w:r>
        <w:softHyphen/>
        <w:t xml:space="preserve">guren, die eine Trophäe umarmen. Lediglich Fenster oder leere Nischen werden </w:t>
      </w:r>
      <w:r w:rsidR="00BB1D6D">
        <w:t xml:space="preserve">an den Wänden der seitlich vortretenden Cellae </w:t>
      </w:r>
      <w:r>
        <w:t>angedeutet. Anstelle der beiden Göt</w:t>
      </w:r>
      <w:r>
        <w:softHyphen/>
        <w:t>terfiguren zeigt Strada jedoch zwei wohl als Heroen zu deu</w:t>
      </w:r>
      <w:r>
        <w:softHyphen/>
        <w:t xml:space="preserve">tende Figuren auf den Seitenwangen, welche </w:t>
      </w:r>
      <w:r w:rsidR="00BB1D6D">
        <w:t xml:space="preserve">die </w:t>
      </w:r>
      <w:r>
        <w:t>Treppe rahmen. Auch die Säulenstellungen der Tempelfassade weichen in beiden Darstellung deutlich voneinander ab.</w:t>
      </w:r>
    </w:p>
    <w:p w:rsidR="00307781" w:rsidRDefault="00743576">
      <w:pPr>
        <w:pStyle w:val="noindent"/>
        <w:spacing w:line="276" w:lineRule="auto"/>
        <w:ind w:firstLine="284"/>
      </w:pPr>
      <w:r>
        <w:t>Am auffälligsten ist jedoch zweifellos, dass die erste Darstellung eine sitzende männliche Figur, wohl einen ver</w:t>
      </w:r>
      <w:r>
        <w:softHyphen/>
        <w:t>göttlichten Kaiser, darstellt, während die zweite eine weibli</w:t>
      </w:r>
      <w:r>
        <w:softHyphen/>
        <w:t xml:space="preserve">che Figur, wohl die Personifikation der </w:t>
      </w:r>
      <w:r>
        <w:rPr>
          <w:rStyle w:val="pplri8t-1"/>
        </w:rPr>
        <w:t xml:space="preserve">Concordia </w:t>
      </w:r>
      <w:r w:rsidR="00BB1D6D">
        <w:t>zeigt</w:t>
      </w:r>
      <w:r>
        <w:t>. Es scheint denkbar, dass die Unterschiede zwischen bei</w:t>
      </w:r>
      <w:r>
        <w:softHyphen/>
        <w:t>den Zeichnungen entweder fortschreitende Erkenntnisse auf</w:t>
      </w:r>
      <w:r w:rsidR="00244C86">
        <w:t>grund</w:t>
      </w:r>
      <w:r>
        <w:t xml:space="preserve"> der Kenntnis neuer, weiterer Quellen anzei</w:t>
      </w:r>
      <w:r>
        <w:softHyphen/>
        <w:t xml:space="preserve">gen </w:t>
      </w:r>
      <w:r w:rsidR="00244C86">
        <w:t>o</w:t>
      </w:r>
      <w:r>
        <w:t xml:space="preserve">der aber unterschiedliche historische Zustände bspw. nach Zerstörungen wie im Falle der </w:t>
      </w:r>
      <w:r>
        <w:rPr>
          <w:rStyle w:val="pplri8t-1"/>
        </w:rPr>
        <w:t xml:space="preserve">Curia. </w:t>
      </w:r>
      <w:r>
        <w:rPr>
          <w:rStyle w:val="pplri8t-1"/>
          <w:i w:val="0"/>
          <w:iCs w:val="0"/>
        </w:rPr>
        <w:t>Hierin könnte man ein Beispiel für die von Antonio Agustín gerühmte Fä</w:t>
      </w:r>
      <w:r>
        <w:rPr>
          <w:rStyle w:val="pplri8t-1"/>
          <w:i w:val="0"/>
          <w:iCs w:val="0"/>
        </w:rPr>
        <w:softHyphen/>
        <w:t>higkeit der Künstler unter seinen Archäologen-Kollegen se</w:t>
      </w:r>
      <w:r>
        <w:rPr>
          <w:rStyle w:val="pplri8t-1"/>
          <w:i w:val="0"/>
          <w:iCs w:val="0"/>
        </w:rPr>
        <w:softHyphen/>
        <w:t>hen, die aufgrund ihrer Kenntnisse und Ausbildung mehr und Genaueres auf den Münzen erkennen konnten, als dies bspw. den Philologen möglich war.[35]</w:t>
      </w:r>
    </w:p>
    <w:p w:rsidR="00307781" w:rsidRDefault="00743576">
      <w:pPr>
        <w:pStyle w:val="noindent"/>
        <w:spacing w:line="276" w:lineRule="auto"/>
      </w:pPr>
      <w:r>
        <w:rPr>
          <w:noProof/>
        </w:rPr>
        <w:lastRenderedPageBreak/>
        <w:drawing>
          <wp:anchor distT="0" distB="0" distL="0" distR="0" simplePos="0" relativeHeight="10" behindDoc="0" locked="0" layoutInCell="1" allowOverlap="1">
            <wp:simplePos x="0" y="0"/>
            <wp:positionH relativeFrom="column">
              <wp:posOffset>2540</wp:posOffset>
            </wp:positionH>
            <wp:positionV relativeFrom="paragraph">
              <wp:posOffset>0</wp:posOffset>
            </wp:positionV>
            <wp:extent cx="3189605" cy="4998720"/>
            <wp:effectExtent l="0" t="0" r="0" b="5080"/>
            <wp:wrapSquare wrapText="largest"/>
            <wp:docPr id="9" name="Bil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9"/>
                    <pic:cNvPicPr>
                      <a:picLocks noChangeAspect="1" noChangeArrowheads="1"/>
                    </pic:cNvPicPr>
                  </pic:nvPicPr>
                  <pic:blipFill>
                    <a:blip r:embed="rId15"/>
                    <a:stretch>
                      <a:fillRect/>
                    </a:stretch>
                  </pic:blipFill>
                  <pic:spPr bwMode="auto">
                    <a:xfrm>
                      <a:off x="0" y="0"/>
                      <a:ext cx="3189605" cy="4998720"/>
                    </a:xfrm>
                    <a:prstGeom prst="rect">
                      <a:avLst/>
                    </a:prstGeom>
                  </pic:spPr>
                </pic:pic>
              </a:graphicData>
            </a:graphic>
            <wp14:sizeRelH relativeFrom="margin">
              <wp14:pctWidth>0</wp14:pctWidth>
            </wp14:sizeRelH>
            <wp14:sizeRelV relativeFrom="margin">
              <wp14:pctHeight>0</wp14:pctHeight>
            </wp14:sizeRelV>
          </wp:anchor>
        </w:drawing>
      </w:r>
    </w:p>
    <w:p w:rsidR="00307781" w:rsidRDefault="00743576">
      <w:pPr>
        <w:pStyle w:val="noindent"/>
        <w:spacing w:line="276" w:lineRule="auto"/>
        <w:ind w:firstLine="284"/>
        <w:jc w:val="center"/>
        <w:rPr>
          <w:sz w:val="18"/>
          <w:szCs w:val="18"/>
        </w:rPr>
      </w:pPr>
      <w:r>
        <w:rPr>
          <w:sz w:val="18"/>
          <w:szCs w:val="18"/>
        </w:rPr>
        <w:t xml:space="preserve">Abb. 8: </w:t>
      </w:r>
      <w:r>
        <w:rPr>
          <w:i/>
          <w:iCs/>
          <w:sz w:val="18"/>
          <w:szCs w:val="18"/>
        </w:rPr>
        <w:t>Concordia</w:t>
      </w:r>
      <w:r>
        <w:rPr>
          <w:sz w:val="18"/>
          <w:szCs w:val="18"/>
        </w:rPr>
        <w:t>-Tempel (Gotha, Bd.  7, Bl. 34)</w:t>
      </w:r>
    </w:p>
    <w:p w:rsidR="00307781" w:rsidRDefault="00743576">
      <w:pPr>
        <w:pStyle w:val="noindent"/>
        <w:spacing w:line="276" w:lineRule="auto"/>
        <w:ind w:firstLine="284"/>
      </w:pPr>
      <w:r>
        <w:rPr>
          <w:rStyle w:val="pplri8t-1"/>
        </w:rPr>
        <w:t xml:space="preserve"> </w:t>
      </w:r>
    </w:p>
    <w:p w:rsidR="00307781" w:rsidRDefault="00743576">
      <w:pPr>
        <w:pStyle w:val="noindent"/>
        <w:spacing w:line="276" w:lineRule="auto"/>
        <w:ind w:firstLine="284"/>
      </w:pPr>
      <w:r>
        <w:rPr>
          <w:noProof/>
        </w:rPr>
        <w:lastRenderedPageBreak/>
        <w:drawing>
          <wp:anchor distT="0" distB="0" distL="0" distR="0" simplePos="0" relativeHeight="11" behindDoc="0" locked="0" layoutInCell="1" allowOverlap="1">
            <wp:simplePos x="0" y="0"/>
            <wp:positionH relativeFrom="column">
              <wp:posOffset>0</wp:posOffset>
            </wp:positionH>
            <wp:positionV relativeFrom="paragraph">
              <wp:posOffset>2540</wp:posOffset>
            </wp:positionV>
            <wp:extent cx="3086100" cy="4984115"/>
            <wp:effectExtent l="0" t="0" r="0" b="0"/>
            <wp:wrapSquare wrapText="largest"/>
            <wp:docPr id="10" name="Bi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10"/>
                    <pic:cNvPicPr>
                      <a:picLocks noChangeAspect="1" noChangeArrowheads="1"/>
                    </pic:cNvPicPr>
                  </pic:nvPicPr>
                  <pic:blipFill>
                    <a:blip r:embed="rId16"/>
                    <a:stretch>
                      <a:fillRect/>
                    </a:stretch>
                  </pic:blipFill>
                  <pic:spPr bwMode="auto">
                    <a:xfrm>
                      <a:off x="0" y="0"/>
                      <a:ext cx="3086100" cy="4984115"/>
                    </a:xfrm>
                    <a:prstGeom prst="rect">
                      <a:avLst/>
                    </a:prstGeom>
                  </pic:spPr>
                </pic:pic>
              </a:graphicData>
            </a:graphic>
          </wp:anchor>
        </w:drawing>
      </w:r>
    </w:p>
    <w:p w:rsidR="00307781" w:rsidRDefault="00743576">
      <w:pPr>
        <w:pStyle w:val="noindent"/>
        <w:spacing w:line="276" w:lineRule="auto"/>
        <w:ind w:left="480" w:right="480"/>
        <w:jc w:val="center"/>
        <w:rPr>
          <w:sz w:val="18"/>
          <w:szCs w:val="18"/>
        </w:rPr>
      </w:pPr>
      <w:r>
        <w:rPr>
          <w:sz w:val="18"/>
          <w:szCs w:val="18"/>
        </w:rPr>
        <w:t xml:space="preserve">Abb. 9: </w:t>
      </w:r>
      <w:r>
        <w:rPr>
          <w:i/>
          <w:iCs/>
          <w:sz w:val="18"/>
          <w:szCs w:val="18"/>
        </w:rPr>
        <w:t>Concordia</w:t>
      </w:r>
      <w:r>
        <w:rPr>
          <w:sz w:val="18"/>
          <w:szCs w:val="18"/>
        </w:rPr>
        <w:t>-Tempel (Gotha Bd. 7, Bl. 91)</w:t>
      </w:r>
    </w:p>
    <w:p w:rsidR="00307781" w:rsidRDefault="00307781">
      <w:pPr>
        <w:pStyle w:val="noindent"/>
        <w:spacing w:line="276" w:lineRule="auto"/>
        <w:ind w:firstLine="284"/>
      </w:pPr>
    </w:p>
    <w:p w:rsidR="00307781" w:rsidRDefault="00743576" w:rsidP="006D4B32">
      <w:pPr>
        <w:pStyle w:val="noindent"/>
        <w:spacing w:line="276" w:lineRule="auto"/>
      </w:pPr>
      <w:r>
        <w:lastRenderedPageBreak/>
        <w:t>Aber erst in der – heute würde man wohl sagen: interdisziplinären – Zusammenarbeit konnten sich die Quellenkenntnisse und Forschungsergebnisse beider Gruppen – der genau beobachtenden und über architektonische Erfahrung verfügenden Künstler wie Strada und der Gelehrten, welche die Beschreibungen antiker Texte kannten</w:t>
      </w:r>
      <w:r w:rsidR="0033103F">
        <w:t xml:space="preserve"> und deuten konnten</w:t>
      </w:r>
      <w:r>
        <w:t xml:space="preserve"> – ergänzen und so zu einem umfassenderen und besseren Verständnis der antiken Objekte führen.</w:t>
      </w:r>
    </w:p>
    <w:p w:rsidR="00307781" w:rsidRDefault="00743576">
      <w:pPr>
        <w:pStyle w:val="indent"/>
        <w:spacing w:line="276" w:lineRule="auto"/>
        <w:ind w:firstLine="0"/>
        <w:rPr>
          <w:b/>
        </w:rPr>
      </w:pPr>
      <w:r>
        <w:rPr>
          <w:b/>
        </w:rPr>
        <w:t>3.3 Caesar-Tempel</w:t>
      </w:r>
    </w:p>
    <w:p w:rsidR="00307781" w:rsidRDefault="00307781">
      <w:pPr>
        <w:pStyle w:val="indent"/>
        <w:spacing w:line="276" w:lineRule="auto"/>
        <w:ind w:firstLine="0"/>
      </w:pPr>
    </w:p>
    <w:p w:rsidR="00307781" w:rsidRDefault="00743576">
      <w:pPr>
        <w:pStyle w:val="indent"/>
        <w:spacing w:line="276" w:lineRule="auto"/>
        <w:ind w:firstLine="0"/>
      </w:pPr>
      <w:r>
        <w:t>Nach der Ermordung Caesars und seiner Feuerbestattung auf dem Forum wurde ihm dort nach seiner Erhebung zum Gott ein Tempel errichtet, von dem heute nur noch die Ker</w:t>
      </w:r>
      <w:r>
        <w:softHyphen/>
        <w:t>ne des Podiums sichtbar sind: Alle Steine, die diese einst ummantel-ten, sowie der Tempel selbst sind ebenso ver</w:t>
      </w:r>
      <w:r>
        <w:softHyphen/>
        <w:t>schwunden wie die Treppe mit dem Altar, der sich über dem Verbrennungsort befunden haben dürfte. Nur dieser ist heu</w:t>
      </w:r>
      <w:r>
        <w:softHyphen/>
        <w:t xml:space="preserve">te noch unterhalb der Reste der Treppe sichtbar und  wird – ebenso wie der Ort der Ermordung Caesars am heutigen </w:t>
      </w:r>
      <w:r>
        <w:rPr>
          <w:rStyle w:val="pplri8t-1"/>
        </w:rPr>
        <w:t xml:space="preserve">Largo di Torre Argen-tina – </w:t>
      </w:r>
      <w:r>
        <w:t>gelegentlich sogar noch mit fri</w:t>
      </w:r>
      <w:r>
        <w:softHyphen/>
        <w:t>schen Blumen verziert.</w:t>
      </w:r>
    </w:p>
    <w:p w:rsidR="00307781" w:rsidRDefault="00743576">
      <w:pPr>
        <w:pStyle w:val="indent"/>
        <w:spacing w:line="276" w:lineRule="auto"/>
        <w:ind w:firstLine="284"/>
      </w:pPr>
      <w:r>
        <w:t xml:space="preserve">Der Tempel selbst hatte sicherlich nicht nur eine vier-, sondern eine sechssäulige Front; dass die Münze nur </w:t>
      </w:r>
      <w:r w:rsidR="0044391E">
        <w:t>vier</w:t>
      </w:r>
      <w:r>
        <w:t xml:space="preserve"> Säu</w:t>
      </w:r>
      <w:r>
        <w:softHyphen/>
        <w:t>len zeigt, dürfte dazu dienen, die in der Cella aufgestellte Statue des vergöttlichten Caesar zu zeigen. Strada hält sich also recht präzise an die Münzdarstellung, was auch damit begründet werden kann, dass das Bauwerk selbst oder ge</w:t>
      </w:r>
      <w:r>
        <w:softHyphen/>
        <w:t>nauere Quellen dazu nicht mehr verfügbar waren. Bemer</w:t>
      </w:r>
      <w:r>
        <w:softHyphen/>
        <w:t xml:space="preserve">kenswert ist, dass Caesar hier </w:t>
      </w:r>
      <w:r w:rsidR="0044391E">
        <w:t xml:space="preserve">von Strada trotz der eher groben Münzdarstellung </w:t>
      </w:r>
      <w:r>
        <w:t xml:space="preserve">als opfernder Priester </w:t>
      </w:r>
      <w:r w:rsidR="0044391E">
        <w:t xml:space="preserve">identifiziert und </w:t>
      </w:r>
      <w:r>
        <w:t>zusam</w:t>
      </w:r>
      <w:r>
        <w:softHyphen/>
        <w:t xml:space="preserve">men mit dem Altar dargestellt </w:t>
      </w:r>
      <w:r w:rsidR="0044391E">
        <w:t>wird</w:t>
      </w:r>
      <w:r>
        <w:t>, der sich eigentlich vor dem Tempel befinden sollte und nicht links davon wie auf der Münze und in der Zeichnung. Das in der Münzdarstel</w:t>
      </w:r>
      <w:r>
        <w:softHyphen/>
      </w:r>
      <w:r>
        <w:lastRenderedPageBreak/>
        <w:t>lung erkennbare Feuer Strada zeigt allerdings nicht. Ob die genaue Darstellung Caesars im Tempel bekannt war oder Strada bekannt sein konnte, ist unklar. Allerdings ist es nicht unwahrscheinlich, dass die historische</w:t>
      </w:r>
      <w:r w:rsidR="0044391E">
        <w:t>, nun vergöttlichte</w:t>
      </w:r>
      <w:r>
        <w:t xml:space="preserve"> Person im sa</w:t>
      </w:r>
      <w:r>
        <w:softHyphen/>
        <w:t>kralen Kontext</w:t>
      </w:r>
      <w:r w:rsidR="0044391E">
        <w:t xml:space="preserve"> eines Tempels</w:t>
      </w:r>
      <w:r>
        <w:t xml:space="preserve"> in </w:t>
      </w:r>
      <w:r w:rsidR="0044391E">
        <w:t xml:space="preserve">eben jener </w:t>
      </w:r>
      <w:r>
        <w:t xml:space="preserve">Funktion dargestellt war, die sie </w:t>
      </w:r>
      <w:r w:rsidR="0044391E">
        <w:t xml:space="preserve">auch </w:t>
      </w:r>
      <w:r>
        <w:t xml:space="preserve">zu Lebzeiten innehatte und wohl als die höchste gelten </w:t>
      </w:r>
      <w:r w:rsidR="0044391E">
        <w:t>darf</w:t>
      </w:r>
      <w:r>
        <w:t>, die ein Römer erreichen konnte: der</w:t>
      </w:r>
      <w:r w:rsidR="0044391E">
        <w:t xml:space="preserve"> des</w:t>
      </w:r>
      <w:r>
        <w:t xml:space="preserve"> </w:t>
      </w:r>
      <w:r>
        <w:rPr>
          <w:i/>
        </w:rPr>
        <w:t>Pontifex maximus</w:t>
      </w:r>
      <w:r>
        <w:t>, dem alle religiösen Angelegenheiten Roms unterstanden.</w:t>
      </w:r>
    </w:p>
    <w:p w:rsidR="0044391E" w:rsidRDefault="0044391E">
      <w:pPr>
        <w:pStyle w:val="indent"/>
        <w:spacing w:line="276" w:lineRule="auto"/>
        <w:ind w:firstLine="284"/>
      </w:pPr>
    </w:p>
    <w:p w:rsidR="0044391E" w:rsidRDefault="0044391E">
      <w:pPr>
        <w:pStyle w:val="noindent"/>
        <w:spacing w:line="276" w:lineRule="auto"/>
        <w:jc w:val="center"/>
      </w:pPr>
    </w:p>
    <w:p w:rsidR="00307781" w:rsidRDefault="00743576">
      <w:pPr>
        <w:pStyle w:val="noindent"/>
        <w:spacing w:line="276" w:lineRule="auto"/>
        <w:jc w:val="center"/>
      </w:pPr>
      <w:r>
        <w:rPr>
          <w:noProof/>
        </w:rPr>
        <w:drawing>
          <wp:anchor distT="0" distB="0" distL="0" distR="0" simplePos="0" relativeHeight="12" behindDoc="0" locked="0" layoutInCell="1" allowOverlap="1">
            <wp:simplePos x="0" y="0"/>
            <wp:positionH relativeFrom="column">
              <wp:posOffset>0</wp:posOffset>
            </wp:positionH>
            <wp:positionV relativeFrom="paragraph">
              <wp:posOffset>-65405</wp:posOffset>
            </wp:positionV>
            <wp:extent cx="3086100" cy="3021965"/>
            <wp:effectExtent l="0" t="0" r="0" b="0"/>
            <wp:wrapSquare wrapText="largest"/>
            <wp:docPr id="11" name="Bil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11"/>
                    <pic:cNvPicPr>
                      <a:picLocks noChangeAspect="1" noChangeArrowheads="1"/>
                    </pic:cNvPicPr>
                  </pic:nvPicPr>
                  <pic:blipFill>
                    <a:blip r:embed="rId17"/>
                    <a:stretch>
                      <a:fillRect/>
                    </a:stretch>
                  </pic:blipFill>
                  <pic:spPr bwMode="auto">
                    <a:xfrm>
                      <a:off x="0" y="0"/>
                      <a:ext cx="3086100" cy="3021965"/>
                    </a:xfrm>
                    <a:prstGeom prst="rect">
                      <a:avLst/>
                    </a:prstGeom>
                  </pic:spPr>
                </pic:pic>
              </a:graphicData>
            </a:graphic>
          </wp:anchor>
        </w:drawing>
      </w:r>
      <w:r>
        <w:t>Abb.</w:t>
      </w:r>
      <w:r w:rsidR="0044391E">
        <w:t xml:space="preserve"> 10</w:t>
      </w:r>
      <w:r>
        <w:t>: Caesar-Tempel (Denar 36 v. Chr.)</w:t>
      </w:r>
    </w:p>
    <w:p w:rsidR="00307781" w:rsidRDefault="00307781">
      <w:pPr>
        <w:pStyle w:val="noindent"/>
        <w:spacing w:line="276" w:lineRule="auto"/>
        <w:jc w:val="center"/>
      </w:pPr>
    </w:p>
    <w:p w:rsidR="00307781" w:rsidRDefault="00743576">
      <w:pPr>
        <w:pStyle w:val="noindent"/>
        <w:spacing w:line="276" w:lineRule="auto"/>
        <w:jc w:val="center"/>
      </w:pPr>
      <w:r>
        <w:rPr>
          <w:noProof/>
        </w:rPr>
        <w:lastRenderedPageBreak/>
        <w:drawing>
          <wp:anchor distT="0" distB="0" distL="0" distR="0" simplePos="0" relativeHeight="13" behindDoc="0" locked="0" layoutInCell="1" allowOverlap="1">
            <wp:simplePos x="0" y="0"/>
            <wp:positionH relativeFrom="column">
              <wp:align>center</wp:align>
            </wp:positionH>
            <wp:positionV relativeFrom="paragraph">
              <wp:posOffset>635</wp:posOffset>
            </wp:positionV>
            <wp:extent cx="3086100" cy="5109210"/>
            <wp:effectExtent l="0" t="0" r="0" b="0"/>
            <wp:wrapSquare wrapText="largest"/>
            <wp:docPr id="12" name="Bil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12"/>
                    <pic:cNvPicPr>
                      <a:picLocks noChangeAspect="1" noChangeArrowheads="1"/>
                    </pic:cNvPicPr>
                  </pic:nvPicPr>
                  <pic:blipFill>
                    <a:blip r:embed="rId18"/>
                    <a:stretch>
                      <a:fillRect/>
                    </a:stretch>
                  </pic:blipFill>
                  <pic:spPr bwMode="auto">
                    <a:xfrm>
                      <a:off x="0" y="0"/>
                      <a:ext cx="3086100" cy="5109210"/>
                    </a:xfrm>
                    <a:prstGeom prst="rect">
                      <a:avLst/>
                    </a:prstGeom>
                  </pic:spPr>
                </pic:pic>
              </a:graphicData>
            </a:graphic>
          </wp:anchor>
        </w:drawing>
      </w:r>
    </w:p>
    <w:p w:rsidR="00307781" w:rsidRDefault="00743576">
      <w:pPr>
        <w:pStyle w:val="noindent"/>
        <w:spacing w:line="276" w:lineRule="auto"/>
        <w:jc w:val="center"/>
      </w:pPr>
      <w:r>
        <w:t>Abb.1</w:t>
      </w:r>
      <w:r w:rsidR="0044391E">
        <w:t>1</w:t>
      </w:r>
      <w:r>
        <w:t>: Tempel des Iulius Caesar (Gotha Bd. 2, Bl. 118)</w:t>
      </w:r>
    </w:p>
    <w:p w:rsidR="00307781" w:rsidRDefault="00743576">
      <w:pPr>
        <w:pStyle w:val="indent"/>
        <w:spacing w:line="276" w:lineRule="auto"/>
        <w:ind w:firstLine="0"/>
      </w:pPr>
      <w:r>
        <w:rPr>
          <w:b/>
        </w:rPr>
        <w:lastRenderedPageBreak/>
        <w:t>3.4 Mars-Ultor-Tempel</w:t>
      </w:r>
    </w:p>
    <w:p w:rsidR="00307781" w:rsidRDefault="00307781">
      <w:pPr>
        <w:pStyle w:val="indent"/>
        <w:spacing w:line="276" w:lineRule="auto"/>
        <w:ind w:firstLine="0"/>
      </w:pPr>
    </w:p>
    <w:p w:rsidR="0044391E" w:rsidRDefault="00743576">
      <w:pPr>
        <w:pStyle w:val="indent"/>
        <w:spacing w:line="276" w:lineRule="auto"/>
        <w:ind w:firstLine="0"/>
      </w:pPr>
      <w:r>
        <w:t>Dieser Tempel ist auf vergleichsweise vielen Münzen und also auch Zeichnungen aus Stradas Werkstatt dargestellt. Dabei handelt es sich jedoch nicht um Darstellungen des großen Tempels im Zentrum des Augustus-Fo</w:t>
      </w:r>
      <w:r>
        <w:softHyphen/>
        <w:t>rums, der auf einem rechteckigen Grundriss beruhte, sondern um solche eines älteren Baus über kreisförmigem Grundriss, der sich auf dem Kapitol befand. In Stradas Zeichnungen ist sehr genau wiedergegeben, wie sich das Aussehen des Tempels aufgrund des jeweils der Münzprägung zuzuordnenden Anlasses änderte: Es sind unterschiedliche, offenbar ephemere Verzierungen oder Objekte wie Streitwagen sichtbar, die wohl von Siegern gestiftete Kriegsbeute darstellen. Darüber hinaus zeigen Stradas Darstellungen Feldstandarten von Legionen und Festons sowie die zu vermutende Wanddekoration des Tempels mit Reliefs aus Akanthus-Rollwerk.</w:t>
      </w:r>
    </w:p>
    <w:p w:rsidR="00307781" w:rsidRDefault="00743576" w:rsidP="0044391E">
      <w:pPr>
        <w:pStyle w:val="indent"/>
        <w:spacing w:line="276" w:lineRule="auto"/>
        <w:ind w:firstLine="284"/>
      </w:pPr>
      <w:r>
        <w:t>Dass sich Strada um eine genauere Identifikation der ephemeren Verzierungen bemühte und diese darstellte, ist nicht ohne Bedeutung, denn für die festlichen, zumeist politischen Anlässe wurde in der Renaissance besonders gern auf vermeintliche oder tatsächliche antike und antiki</w:t>
      </w:r>
      <w:r>
        <w:softHyphen/>
        <w:t xml:space="preserve">sierende Elemente zurück gegriffen. Münzdarstellungen und deren präzise Interpretation stellten hierfür zweifellos wichtige Informationsquellen dar. Sie wurden in den nachempfundenen Triumphdarstellungen der Renaissance jedoch gelegentlich um moderne Waffen, vor allem Kanonen und (explodierende!) </w:t>
      </w:r>
      <w:r w:rsidR="0044391E">
        <w:t>Granaten</w:t>
      </w:r>
      <w:r>
        <w:t xml:space="preserve"> ergänzt, die in die antiken Dekorationsschemata eingebunden wurden. Am bekanntesten sind unter solchen Dekorationen die zu Einzügen bedeutender Fürsten in Städten oder zu Hochzeiten mit  </w:t>
      </w:r>
      <w:r w:rsidR="0044391E">
        <w:t xml:space="preserve">einem heute </w:t>
      </w:r>
      <w:r>
        <w:t>kaum vorstellbarem Aufwand errichteten Ar</w:t>
      </w:r>
      <w:r>
        <w:softHyphen/>
        <w:t>chitekturen.</w:t>
      </w:r>
    </w:p>
    <w:p w:rsidR="00307781" w:rsidRDefault="00743576">
      <w:pPr>
        <w:pStyle w:val="noindent"/>
        <w:spacing w:line="276" w:lineRule="auto"/>
        <w:jc w:val="center"/>
      </w:pPr>
      <w:r>
        <w:rPr>
          <w:noProof/>
        </w:rPr>
        <w:lastRenderedPageBreak/>
        <w:drawing>
          <wp:anchor distT="0" distB="0" distL="0" distR="0" simplePos="0" relativeHeight="14" behindDoc="0" locked="0" layoutInCell="1" allowOverlap="1">
            <wp:simplePos x="0" y="0"/>
            <wp:positionH relativeFrom="column">
              <wp:align>center</wp:align>
            </wp:positionH>
            <wp:positionV relativeFrom="paragraph">
              <wp:posOffset>635</wp:posOffset>
            </wp:positionV>
            <wp:extent cx="3086100" cy="4962525"/>
            <wp:effectExtent l="0" t="0" r="0" b="0"/>
            <wp:wrapSquare wrapText="largest"/>
            <wp:docPr id="13" name="Bil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13"/>
                    <pic:cNvPicPr>
                      <a:picLocks noChangeAspect="1" noChangeArrowheads="1"/>
                    </pic:cNvPicPr>
                  </pic:nvPicPr>
                  <pic:blipFill>
                    <a:blip r:embed="rId19"/>
                    <a:stretch>
                      <a:fillRect/>
                    </a:stretch>
                  </pic:blipFill>
                  <pic:spPr bwMode="auto">
                    <a:xfrm>
                      <a:off x="0" y="0"/>
                      <a:ext cx="3086100" cy="4962525"/>
                    </a:xfrm>
                    <a:prstGeom prst="rect">
                      <a:avLst/>
                    </a:prstGeom>
                  </pic:spPr>
                </pic:pic>
              </a:graphicData>
            </a:graphic>
          </wp:anchor>
        </w:drawing>
      </w:r>
    </w:p>
    <w:p w:rsidR="00307781" w:rsidRDefault="00743576">
      <w:pPr>
        <w:pStyle w:val="noindent"/>
        <w:spacing w:line="276" w:lineRule="auto"/>
        <w:jc w:val="center"/>
        <w:rPr>
          <w:sz w:val="18"/>
          <w:szCs w:val="18"/>
        </w:rPr>
      </w:pPr>
      <w:r>
        <w:rPr>
          <w:sz w:val="18"/>
          <w:szCs w:val="18"/>
        </w:rPr>
        <w:t xml:space="preserve">Abb. 12: Mars-Ultor-Tempel (Gotha Bd. 4, Bl. 91) </w:t>
      </w:r>
    </w:p>
    <w:p w:rsidR="00307781" w:rsidRDefault="00743576">
      <w:pPr>
        <w:pStyle w:val="noindent"/>
        <w:spacing w:line="276" w:lineRule="auto"/>
        <w:jc w:val="center"/>
        <w:rPr>
          <w:sz w:val="18"/>
          <w:szCs w:val="18"/>
        </w:rPr>
      </w:pPr>
      <w:r>
        <w:rPr>
          <w:noProof/>
        </w:rPr>
        <w:lastRenderedPageBreak/>
        <w:drawing>
          <wp:anchor distT="0" distB="0" distL="0" distR="0" simplePos="0" relativeHeight="15" behindDoc="0" locked="0" layoutInCell="1" allowOverlap="1">
            <wp:simplePos x="0" y="0"/>
            <wp:positionH relativeFrom="column">
              <wp:align>center</wp:align>
            </wp:positionH>
            <wp:positionV relativeFrom="paragraph">
              <wp:posOffset>635</wp:posOffset>
            </wp:positionV>
            <wp:extent cx="3086100" cy="4886325"/>
            <wp:effectExtent l="0" t="0" r="0" b="0"/>
            <wp:wrapSquare wrapText="largest"/>
            <wp:docPr id="14" name="Bil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14"/>
                    <pic:cNvPicPr>
                      <a:picLocks noChangeAspect="1" noChangeArrowheads="1"/>
                    </pic:cNvPicPr>
                  </pic:nvPicPr>
                  <pic:blipFill>
                    <a:blip r:embed="rId20"/>
                    <a:stretch>
                      <a:fillRect/>
                    </a:stretch>
                  </pic:blipFill>
                  <pic:spPr bwMode="auto">
                    <a:xfrm>
                      <a:off x="0" y="0"/>
                      <a:ext cx="3086100" cy="4886325"/>
                    </a:xfrm>
                    <a:prstGeom prst="rect">
                      <a:avLst/>
                    </a:prstGeom>
                  </pic:spPr>
                </pic:pic>
              </a:graphicData>
            </a:graphic>
          </wp:anchor>
        </w:drawing>
      </w:r>
    </w:p>
    <w:p w:rsidR="00307781" w:rsidRDefault="00743576">
      <w:pPr>
        <w:pStyle w:val="noindent"/>
        <w:spacing w:line="276" w:lineRule="auto"/>
        <w:jc w:val="center"/>
      </w:pPr>
      <w:r>
        <w:rPr>
          <w:sz w:val="18"/>
          <w:szCs w:val="18"/>
        </w:rPr>
        <w:t>Abb. 13: Mars-Ultor-Tempel (Gotha Bd. 5, Bl. 41)</w:t>
      </w:r>
    </w:p>
    <w:p w:rsidR="00307781" w:rsidRDefault="00307781">
      <w:pPr>
        <w:pStyle w:val="indent"/>
        <w:spacing w:line="276" w:lineRule="auto"/>
        <w:ind w:firstLine="0"/>
      </w:pPr>
    </w:p>
    <w:p w:rsidR="00307781" w:rsidRDefault="00743576">
      <w:pPr>
        <w:pStyle w:val="indent"/>
        <w:spacing w:line="276" w:lineRule="auto"/>
        <w:ind w:firstLine="0"/>
      </w:pPr>
      <w:r>
        <w:lastRenderedPageBreak/>
        <w:t xml:space="preserve">Diese </w:t>
      </w:r>
      <w:r w:rsidR="0044391E">
        <w:t xml:space="preserve">aufwändigen architektonischen Dekorationen </w:t>
      </w:r>
      <w:r>
        <w:t xml:space="preserve">bestanden bspw. in reich verzierten Triumphbögen oder </w:t>
      </w:r>
      <w:r w:rsidR="0044391E">
        <w:t>»</w:t>
      </w:r>
      <w:r>
        <w:t>lebenden</w:t>
      </w:r>
      <w:r w:rsidR="0044391E">
        <w:t>«</w:t>
      </w:r>
      <w:r>
        <w:t xml:space="preserve"> Bildern, also </w:t>
      </w:r>
      <w:r w:rsidR="0044391E">
        <w:t>»</w:t>
      </w:r>
      <w:r>
        <w:t>Skulpturen</w:t>
      </w:r>
      <w:r w:rsidR="0044391E">
        <w:t>«</w:t>
      </w:r>
      <w:r>
        <w:t xml:space="preserve">-Gruppen aus </w:t>
      </w:r>
      <w:r w:rsidR="0044391E">
        <w:t>Personen</w:t>
      </w:r>
      <w:r>
        <w:t>, die historische oder allegorische Szenen nachstellten, oft auch solche, die man nur aus Beschreibungen</w:t>
      </w:r>
      <w:r w:rsidR="0044391E">
        <w:t>, nicht aber aus Abbildungen</w:t>
      </w:r>
      <w:r>
        <w:t xml:space="preserve"> der Antike kannte. Strada hat sich später insbesondere am Wiener Hof intensiv mit Festdekorationen beschäftigt und sie in große</w:t>
      </w:r>
      <w:r w:rsidR="0044391E">
        <w:t>r Zahl</w:t>
      </w:r>
      <w:r>
        <w:t xml:space="preserve"> auch entworfen: Ihre gründliche wissenschaftliche Behand</w:t>
      </w:r>
      <w:r>
        <w:softHyphen/>
        <w:t>lung steht noch aus. Es wäre sicherlich nicht unin</w:t>
      </w:r>
      <w:r>
        <w:softHyphen/>
        <w:t>teressant, die bisher als reine Ergebnisse der Fantasie Stra</w:t>
      </w:r>
      <w:r>
        <w:softHyphen/>
        <w:t>das geltenden Festdekorationen bspw. mit jenen zu verglei</w:t>
      </w:r>
      <w:r>
        <w:softHyphen/>
        <w:t xml:space="preserve">chen, die er antiken Münzen entnommen </w:t>
      </w:r>
      <w:r w:rsidR="0044391E">
        <w:t>haben konnte</w:t>
      </w:r>
      <w:r>
        <w:t>. Man darf er</w:t>
      </w:r>
      <w:r>
        <w:softHyphen/>
        <w:t xml:space="preserve">warten, dass diese sich vielfach in </w:t>
      </w:r>
      <w:r w:rsidR="00D3074C">
        <w:t xml:space="preserve">den </w:t>
      </w:r>
      <w:r>
        <w:t xml:space="preserve">Dekorationsentwürfen </w:t>
      </w:r>
      <w:r w:rsidR="00D3074C">
        <w:t xml:space="preserve">Stradas </w:t>
      </w:r>
      <w:r>
        <w:t>wiederfinden lassen.</w:t>
      </w:r>
    </w:p>
    <w:p w:rsidR="00307781" w:rsidRDefault="00307781">
      <w:pPr>
        <w:pStyle w:val="indent"/>
        <w:spacing w:line="276" w:lineRule="auto"/>
        <w:ind w:firstLine="0"/>
      </w:pPr>
    </w:p>
    <w:p w:rsidR="00307781" w:rsidRDefault="00743576">
      <w:pPr>
        <w:pStyle w:val="indent"/>
        <w:spacing w:line="276" w:lineRule="auto"/>
        <w:ind w:firstLine="0"/>
        <w:rPr>
          <w:b/>
        </w:rPr>
      </w:pPr>
      <w:r>
        <w:rPr>
          <w:b/>
        </w:rPr>
        <w:t>3.5 Janus-Tempel</w:t>
      </w:r>
    </w:p>
    <w:p w:rsidR="00307781" w:rsidRDefault="00307781">
      <w:pPr>
        <w:pStyle w:val="indent"/>
        <w:spacing w:line="276" w:lineRule="auto"/>
        <w:ind w:firstLine="0"/>
      </w:pPr>
    </w:p>
    <w:p w:rsidR="00307781" w:rsidRDefault="00743576">
      <w:pPr>
        <w:pStyle w:val="indent"/>
        <w:spacing w:line="276" w:lineRule="auto"/>
        <w:ind w:firstLine="0"/>
      </w:pPr>
      <w:r>
        <w:t>Diese Zeichnung stellt einen erstaunlich detaillierten Rekon</w:t>
      </w:r>
      <w:r>
        <w:softHyphen/>
        <w:t>struktionsversuch des römischen Monuments dar, das im ei</w:t>
      </w:r>
      <w:r>
        <w:softHyphen/>
        <w:t>gentlichen Sinne wohl kein Tempel war und von dem prak</w:t>
      </w:r>
      <w:r>
        <w:softHyphen/>
        <w:t>tisch keine archäologischen Spuren nachweisbar sind. Seine Türen wurden in Friedenszeiten geschlossen und in Kriegs</w:t>
      </w:r>
      <w:r>
        <w:softHyphen/>
        <w:t xml:space="preserve">zeiten geöffnet. </w:t>
      </w:r>
    </w:p>
    <w:p w:rsidR="00307781" w:rsidRDefault="00743576">
      <w:pPr>
        <w:pStyle w:val="indent"/>
        <w:spacing w:line="276" w:lineRule="auto"/>
        <w:ind w:firstLine="284"/>
      </w:pPr>
      <w:r>
        <w:t>Die Darstellung Stradas findet sich auch in der Abhand</w:t>
      </w:r>
      <w:r>
        <w:softHyphen/>
        <w:t>lung Guillaume Du Chouls über die Religion der alten Rö</w:t>
      </w:r>
      <w:r>
        <w:softHyphen/>
        <w:t>mer (Du Choul 1556): Strada hatte mit Du Choul, einem der führenden Gelehrten seiner Zeit in Bezug auf die römi</w:t>
      </w:r>
      <w:r>
        <w:softHyphen/>
        <w:t>sche Antike, der auch über eine umfangreiche Münzsamm</w:t>
      </w:r>
      <w:r>
        <w:softHyphen/>
        <w:t xml:space="preserve">lung verfügte, während seines Aufenthalts in Lyon bis 1553 zusammen gearbeitet. Während das später mehrfach aufgelegte Standardwerk Du Chouls zur Illustration überwiegend auf ungefähr in Originalgröße wiedergegebene Münzen setzte, wurden einige Illustrationen – wie diese des Ianus-Tempels – </w:t>
      </w:r>
      <w:r>
        <w:lastRenderedPageBreak/>
        <w:t>ganzseitig wiedergegeben. Sie geht zwei</w:t>
      </w:r>
      <w:r>
        <w:softHyphen/>
        <w:t>fellos auf Strada zurück und wurde über Du Chouls Holz</w:t>
      </w:r>
      <w:r>
        <w:softHyphen/>
        <w:t xml:space="preserve">schnitt </w:t>
      </w:r>
      <w:r w:rsidR="002E5F16">
        <w:t>Vorbild</w:t>
      </w:r>
      <w:r>
        <w:t xml:space="preserve"> für viele spätere Münzprägungen</w:t>
      </w:r>
      <w:r w:rsidR="002E5F16">
        <w:t xml:space="preserve"> mit propagandistischem Antikenbezug: </w:t>
      </w:r>
      <w:r>
        <w:t xml:space="preserve">So diente </w:t>
      </w:r>
      <w:r w:rsidR="002E5F16">
        <w:t xml:space="preserve">die </w:t>
      </w:r>
      <w:r>
        <w:t>Darstellung Ludwig XIV. 1714 und Na</w:t>
      </w:r>
      <w:r>
        <w:softHyphen/>
        <w:t>poleon 1805 als Vorlage für Gedenkmünzen auf Friedens</w:t>
      </w:r>
      <w:r>
        <w:softHyphen/>
        <w:t>schlüsse, wobei das Portal natürlich als geschlossen darge</w:t>
      </w:r>
      <w:r>
        <w:softHyphen/>
        <w:t xml:space="preserve">stellt </w:t>
      </w:r>
      <w:r w:rsidR="002E5F16">
        <w:t>wurde</w:t>
      </w:r>
      <w:r>
        <w:t>. Aber als der 1805 durch Napoleon und Öster</w:t>
      </w:r>
      <w:r>
        <w:softHyphen/>
        <w:t xml:space="preserve">reich geschlossene Frieden von Pressburg durch Österreich 1809 gebrochen wurde, ließ Napoleon die Münze mit einem zerbrochenen, </w:t>
      </w:r>
      <w:r w:rsidR="00673AAE">
        <w:t>sogar</w:t>
      </w:r>
      <w:r>
        <w:t xml:space="preserve"> durch Gewalt geöffneten Portal darstel</w:t>
      </w:r>
      <w:r>
        <w:softHyphen/>
        <w:t xml:space="preserve">len. In beiden Fällen bediente </w:t>
      </w:r>
      <w:r w:rsidR="003829AD">
        <w:t>man</w:t>
      </w:r>
      <w:r>
        <w:t xml:space="preserve"> sich also der antiken Sym</w:t>
      </w:r>
      <w:r>
        <w:softHyphen/>
        <w:t>bolik und der durch Du Choul vermittelten Vorlage Stradas.</w:t>
      </w:r>
    </w:p>
    <w:p w:rsidR="00307781" w:rsidRDefault="00093458">
      <w:pPr>
        <w:pStyle w:val="indent"/>
        <w:spacing w:line="276" w:lineRule="auto"/>
        <w:ind w:firstLine="284"/>
      </w:pPr>
      <w:r>
        <w:rPr>
          <w:noProof/>
        </w:rPr>
        <w:drawing>
          <wp:anchor distT="0" distB="0" distL="0" distR="0" simplePos="0" relativeHeight="16" behindDoc="0" locked="0" layoutInCell="1" allowOverlap="1">
            <wp:simplePos x="0" y="0"/>
            <wp:positionH relativeFrom="column">
              <wp:posOffset>518285</wp:posOffset>
            </wp:positionH>
            <wp:positionV relativeFrom="paragraph">
              <wp:posOffset>97863</wp:posOffset>
            </wp:positionV>
            <wp:extent cx="2181225" cy="3237865"/>
            <wp:effectExtent l="0" t="0" r="0" b="0"/>
            <wp:wrapSquare wrapText="largest"/>
            <wp:docPr id="15" name="Bil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15"/>
                    <pic:cNvPicPr>
                      <a:picLocks noChangeAspect="1" noChangeArrowheads="1"/>
                    </pic:cNvPicPr>
                  </pic:nvPicPr>
                  <pic:blipFill>
                    <a:blip r:embed="rId21"/>
                    <a:stretch>
                      <a:fillRect/>
                    </a:stretch>
                  </pic:blipFill>
                  <pic:spPr bwMode="auto">
                    <a:xfrm>
                      <a:off x="0" y="0"/>
                      <a:ext cx="2181225" cy="3237865"/>
                    </a:xfrm>
                    <a:prstGeom prst="rect">
                      <a:avLst/>
                    </a:prstGeom>
                  </pic:spPr>
                </pic:pic>
              </a:graphicData>
            </a:graphic>
          </wp:anchor>
        </w:drawing>
      </w: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743576">
      <w:pPr>
        <w:pStyle w:val="noindent"/>
        <w:spacing w:line="276" w:lineRule="auto"/>
        <w:jc w:val="center"/>
      </w:pPr>
      <w:r>
        <w:rPr>
          <w:sz w:val="18"/>
          <w:szCs w:val="18"/>
        </w:rPr>
        <w:t>Abb.. 14: Du Choul 1559, S. 21 (nach Strada)</w:t>
      </w:r>
    </w:p>
    <w:p w:rsidR="00307781" w:rsidRDefault="00307781">
      <w:pPr>
        <w:pStyle w:val="noindent"/>
        <w:spacing w:line="276" w:lineRule="auto"/>
        <w:jc w:val="center"/>
      </w:pPr>
    </w:p>
    <w:p w:rsidR="00307781" w:rsidRDefault="00743576">
      <w:pPr>
        <w:pStyle w:val="noindent"/>
        <w:spacing w:line="276" w:lineRule="auto"/>
        <w:jc w:val="center"/>
      </w:pPr>
      <w:r>
        <w:rPr>
          <w:noProof/>
        </w:rPr>
        <w:drawing>
          <wp:anchor distT="0" distB="0" distL="0" distR="0" simplePos="0" relativeHeight="17" behindDoc="0" locked="0" layoutInCell="1" allowOverlap="1">
            <wp:simplePos x="0" y="0"/>
            <wp:positionH relativeFrom="column">
              <wp:align>center</wp:align>
            </wp:positionH>
            <wp:positionV relativeFrom="paragraph">
              <wp:posOffset>635</wp:posOffset>
            </wp:positionV>
            <wp:extent cx="3086100" cy="4834255"/>
            <wp:effectExtent l="0" t="0" r="0" b="0"/>
            <wp:wrapSquare wrapText="largest"/>
            <wp:docPr id="16" name="Bil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16"/>
                    <pic:cNvPicPr>
                      <a:picLocks noChangeAspect="1" noChangeArrowheads="1"/>
                    </pic:cNvPicPr>
                  </pic:nvPicPr>
                  <pic:blipFill>
                    <a:blip r:embed="rId22"/>
                    <a:stretch>
                      <a:fillRect/>
                    </a:stretch>
                  </pic:blipFill>
                  <pic:spPr bwMode="auto">
                    <a:xfrm>
                      <a:off x="0" y="0"/>
                      <a:ext cx="3086100" cy="4834255"/>
                    </a:xfrm>
                    <a:prstGeom prst="rect">
                      <a:avLst/>
                    </a:prstGeom>
                  </pic:spPr>
                </pic:pic>
              </a:graphicData>
            </a:graphic>
          </wp:anchor>
        </w:drawing>
      </w:r>
    </w:p>
    <w:p w:rsidR="00307781" w:rsidRDefault="00743576">
      <w:pPr>
        <w:pStyle w:val="noindent"/>
        <w:spacing w:line="276" w:lineRule="auto"/>
        <w:jc w:val="center"/>
      </w:pPr>
      <w:r>
        <w:t>Abb.</w:t>
      </w:r>
      <w:r w:rsidR="0089208D">
        <w:t xml:space="preserve"> 15</w:t>
      </w:r>
      <w:r>
        <w:t xml:space="preserve">: Ianus-Tempel (Gotha Bd. 4, Bl. 237 </w:t>
      </w:r>
      <w:r>
        <w:rPr>
          <w:rStyle w:val="pplri8t-1"/>
        </w:rPr>
        <w:t>recto</w:t>
      </w:r>
      <w:r>
        <w:t xml:space="preserve">) </w:t>
      </w:r>
    </w:p>
    <w:p w:rsidR="00307781" w:rsidRDefault="00743576">
      <w:pPr>
        <w:pStyle w:val="noindent"/>
        <w:spacing w:line="276" w:lineRule="auto"/>
      </w:pPr>
      <w:r>
        <w:t xml:space="preserve">  </w:t>
      </w:r>
    </w:p>
    <w:p w:rsidR="00307781" w:rsidRDefault="00743576">
      <w:pPr>
        <w:pStyle w:val="indent"/>
        <w:spacing w:line="276" w:lineRule="auto"/>
        <w:ind w:firstLine="0"/>
      </w:pPr>
      <w:r>
        <w:rPr>
          <w:noProof/>
        </w:rPr>
        <w:lastRenderedPageBreak/>
        <w:drawing>
          <wp:anchor distT="0" distB="0" distL="0" distR="0" simplePos="0" relativeHeight="18" behindDoc="0" locked="0" layoutInCell="1" allowOverlap="1">
            <wp:simplePos x="0" y="0"/>
            <wp:positionH relativeFrom="column">
              <wp:posOffset>269875</wp:posOffset>
            </wp:positionH>
            <wp:positionV relativeFrom="paragraph">
              <wp:posOffset>-635</wp:posOffset>
            </wp:positionV>
            <wp:extent cx="2515870" cy="2562860"/>
            <wp:effectExtent l="0" t="0" r="0" b="0"/>
            <wp:wrapSquare wrapText="largest"/>
            <wp:docPr id="17" name="Bil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17"/>
                    <pic:cNvPicPr>
                      <a:picLocks noChangeAspect="1" noChangeArrowheads="1"/>
                    </pic:cNvPicPr>
                  </pic:nvPicPr>
                  <pic:blipFill>
                    <a:blip r:embed="rId23"/>
                    <a:stretch>
                      <a:fillRect/>
                    </a:stretch>
                  </pic:blipFill>
                  <pic:spPr bwMode="auto">
                    <a:xfrm>
                      <a:off x="0" y="0"/>
                      <a:ext cx="2515870" cy="2562860"/>
                    </a:xfrm>
                    <a:prstGeom prst="rect">
                      <a:avLst/>
                    </a:prstGeom>
                  </pic:spPr>
                </pic:pic>
              </a:graphicData>
            </a:graphic>
          </wp:anchor>
        </w:drawing>
      </w: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743576">
      <w:pPr>
        <w:pStyle w:val="noindent"/>
        <w:spacing w:line="276" w:lineRule="auto"/>
        <w:jc w:val="center"/>
      </w:pPr>
      <w:r>
        <w:t xml:space="preserve">Abb. 16: Münze Ludwigs XIV. (1714) </w:t>
      </w:r>
    </w:p>
    <w:p w:rsidR="00307781" w:rsidRDefault="00934EC5">
      <w:pPr>
        <w:pStyle w:val="noindent"/>
        <w:spacing w:line="276" w:lineRule="auto"/>
        <w:jc w:val="center"/>
      </w:pPr>
      <w:r>
        <w:rPr>
          <w:noProof/>
        </w:rPr>
        <w:drawing>
          <wp:anchor distT="0" distB="0" distL="0" distR="0" simplePos="0" relativeHeight="20" behindDoc="0" locked="0" layoutInCell="1" allowOverlap="1">
            <wp:simplePos x="0" y="0"/>
            <wp:positionH relativeFrom="column">
              <wp:posOffset>1608455</wp:posOffset>
            </wp:positionH>
            <wp:positionV relativeFrom="paragraph">
              <wp:posOffset>213246</wp:posOffset>
            </wp:positionV>
            <wp:extent cx="1642745" cy="1623695"/>
            <wp:effectExtent l="0" t="0" r="0" b="0"/>
            <wp:wrapSquare wrapText="largest"/>
            <wp:docPr id="19" name="Bil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19"/>
                    <pic:cNvPicPr>
                      <a:picLocks noChangeAspect="1" noChangeArrowheads="1"/>
                    </pic:cNvPicPr>
                  </pic:nvPicPr>
                  <pic:blipFill>
                    <a:blip r:embed="rId24"/>
                    <a:stretch>
                      <a:fillRect/>
                    </a:stretch>
                  </pic:blipFill>
                  <pic:spPr bwMode="auto">
                    <a:xfrm>
                      <a:off x="0" y="0"/>
                      <a:ext cx="1642745" cy="1623695"/>
                    </a:xfrm>
                    <a:prstGeom prst="rect">
                      <a:avLst/>
                    </a:prstGeom>
                  </pic:spPr>
                </pic:pic>
              </a:graphicData>
            </a:graphic>
          </wp:anchor>
        </w:drawing>
      </w:r>
      <w:r>
        <w:rPr>
          <w:noProof/>
        </w:rPr>
        <w:drawing>
          <wp:anchor distT="0" distB="0" distL="0" distR="0" simplePos="0" relativeHeight="19" behindDoc="0" locked="0" layoutInCell="1" allowOverlap="1">
            <wp:simplePos x="0" y="0"/>
            <wp:positionH relativeFrom="column">
              <wp:posOffset>-37465</wp:posOffset>
            </wp:positionH>
            <wp:positionV relativeFrom="paragraph">
              <wp:posOffset>236615</wp:posOffset>
            </wp:positionV>
            <wp:extent cx="1632585" cy="1623695"/>
            <wp:effectExtent l="0" t="0" r="0" b="0"/>
            <wp:wrapSquare wrapText="largest"/>
            <wp:docPr id="18" name="Bil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18"/>
                    <pic:cNvPicPr>
                      <a:picLocks noChangeAspect="1" noChangeArrowheads="1"/>
                    </pic:cNvPicPr>
                  </pic:nvPicPr>
                  <pic:blipFill>
                    <a:blip r:embed="rId25"/>
                    <a:stretch>
                      <a:fillRect/>
                    </a:stretch>
                  </pic:blipFill>
                  <pic:spPr bwMode="auto">
                    <a:xfrm>
                      <a:off x="0" y="0"/>
                      <a:ext cx="1632585" cy="1623695"/>
                    </a:xfrm>
                    <a:prstGeom prst="rect">
                      <a:avLst/>
                    </a:prstGeom>
                  </pic:spPr>
                </pic:pic>
              </a:graphicData>
            </a:graphic>
          </wp:anchor>
        </w:drawing>
      </w:r>
    </w:p>
    <w:p w:rsidR="00934EC5" w:rsidRDefault="00934EC5">
      <w:pPr>
        <w:pStyle w:val="noindent"/>
        <w:spacing w:line="276" w:lineRule="auto"/>
        <w:jc w:val="center"/>
      </w:pPr>
    </w:p>
    <w:p w:rsidR="00307781" w:rsidRDefault="00743576">
      <w:pPr>
        <w:pStyle w:val="noindent"/>
        <w:spacing w:line="276" w:lineRule="auto"/>
        <w:jc w:val="center"/>
      </w:pPr>
      <w:r>
        <w:t>Abb.: 17/18:  Münzen Napoleons nach Strada/Du Choul</w:t>
      </w:r>
    </w:p>
    <w:p w:rsidR="00307781" w:rsidRDefault="00307781">
      <w:pPr>
        <w:pStyle w:val="noindent"/>
        <w:spacing w:line="276" w:lineRule="auto"/>
        <w:jc w:val="center"/>
      </w:pPr>
    </w:p>
    <w:p w:rsidR="00934EC5" w:rsidRDefault="00934EC5">
      <w:pPr>
        <w:pStyle w:val="noindent"/>
        <w:spacing w:line="276" w:lineRule="auto"/>
        <w:jc w:val="center"/>
      </w:pPr>
    </w:p>
    <w:p w:rsidR="00934EC5" w:rsidRDefault="00934EC5">
      <w:pPr>
        <w:pStyle w:val="noindent"/>
        <w:spacing w:line="276" w:lineRule="auto"/>
        <w:jc w:val="center"/>
      </w:pPr>
    </w:p>
    <w:p w:rsidR="00307781" w:rsidRDefault="00743576">
      <w:pPr>
        <w:pStyle w:val="noindent"/>
        <w:spacing w:line="276" w:lineRule="auto"/>
        <w:rPr>
          <w:b/>
        </w:rPr>
      </w:pPr>
      <w:r>
        <w:rPr>
          <w:b/>
        </w:rPr>
        <w:lastRenderedPageBreak/>
        <w:t>3.6 Kolosseum</w:t>
      </w:r>
    </w:p>
    <w:p w:rsidR="008171F6" w:rsidRDefault="008171F6">
      <w:pPr>
        <w:pStyle w:val="noindent"/>
        <w:spacing w:line="276" w:lineRule="auto"/>
      </w:pPr>
    </w:p>
    <w:p w:rsidR="00307781" w:rsidRDefault="00743576">
      <w:pPr>
        <w:pStyle w:val="noindent"/>
        <w:spacing w:line="276" w:lineRule="auto"/>
      </w:pPr>
      <w:r>
        <w:t>Das römische Kolosseum ist auch heute noch zweifellos ei</w:t>
      </w:r>
      <w:r>
        <w:softHyphen/>
        <w:t xml:space="preserve">ner der prominentesten und imposantesten Bauten Roms. Sein offizieller Name </w:t>
      </w:r>
      <w:r w:rsidR="0021243A">
        <w:t>war</w:t>
      </w:r>
      <w:r>
        <w:t xml:space="preserve"> </w:t>
      </w:r>
      <w:r w:rsidR="0021243A">
        <w:t>jedoch</w:t>
      </w:r>
      <w:r>
        <w:t xml:space="preserve"> Amphitheatrum Flavi</w:t>
      </w:r>
      <w:r>
        <w:softHyphen/>
        <w:t>um, weil es von den Flavischen Kaisern an jener Stelle er</w:t>
      </w:r>
      <w:r>
        <w:softHyphen/>
        <w:t>richtet wurde, an der sich das einen ganzen See umschlie</w:t>
      </w:r>
      <w:r w:rsidR="0021243A">
        <w:t>ß</w:t>
      </w:r>
      <w:r>
        <w:t xml:space="preserve">ende </w:t>
      </w:r>
      <w:r w:rsidR="0021243A">
        <w:t>»</w:t>
      </w:r>
      <w:r>
        <w:t>Atrium</w:t>
      </w:r>
      <w:r w:rsidR="0021243A">
        <w:t>«</w:t>
      </w:r>
      <w:r>
        <w:t xml:space="preserve"> der </w:t>
      </w:r>
      <w:r>
        <w:rPr>
          <w:i/>
        </w:rPr>
        <w:t>Domus Aurea</w:t>
      </w:r>
      <w:r>
        <w:t xml:space="preserve">, des </w:t>
      </w:r>
      <w:r w:rsidR="0021243A">
        <w:t>»</w:t>
      </w:r>
      <w:r>
        <w:t>Goldenen Hauses</w:t>
      </w:r>
      <w:r w:rsidR="0021243A">
        <w:t>«</w:t>
      </w:r>
      <w:r>
        <w:t xml:space="preserve"> Neros befand. Seinen populären Namen verdankt das Bauwerk einer </w:t>
      </w:r>
      <w:r w:rsidR="0021243A">
        <w:t xml:space="preserve">ursprünglich </w:t>
      </w:r>
      <w:r>
        <w:t>neben dem Amphitheater</w:t>
      </w:r>
      <w:r w:rsidR="0021243A">
        <w:t xml:space="preserve"> befindlichen</w:t>
      </w:r>
      <w:r>
        <w:t xml:space="preserve">, ca. 40 m hohen Statue des </w:t>
      </w:r>
      <w:r w:rsidR="0021243A">
        <w:t>»</w:t>
      </w:r>
      <w:r>
        <w:t>unbesiegbaren Son</w:t>
      </w:r>
      <w:r>
        <w:softHyphen/>
        <w:t>nengottes</w:t>
      </w:r>
      <w:r w:rsidR="0021243A">
        <w:t>« (inkl. Sockel). Er trug die</w:t>
      </w:r>
      <w:r>
        <w:t xml:space="preserve"> Porträtzügen</w:t>
      </w:r>
      <w:r w:rsidR="0021243A">
        <w:t xml:space="preserve"> Neros</w:t>
      </w:r>
      <w:r>
        <w:t>. Kaiser Kon</w:t>
      </w:r>
      <w:r>
        <w:softHyphen/>
        <w:t>stantin ließ später das Gesicht durch sein eigenes ersetzen: D</w:t>
      </w:r>
      <w:r w:rsidR="0021243A">
        <w:t>ieser kolossale Bronzekopf</w:t>
      </w:r>
      <w:r>
        <w:t xml:space="preserve"> </w:t>
      </w:r>
      <w:r w:rsidR="0021243A">
        <w:t xml:space="preserve">mit </w:t>
      </w:r>
      <w:r>
        <w:t xml:space="preserve">der zu Konstantins Zeiten unüblichen Frisur Neros sowie weitere Teile der </w:t>
      </w:r>
      <w:r w:rsidR="0021243A">
        <w:t xml:space="preserve">Statue </w:t>
      </w:r>
      <w:r>
        <w:t>befinden sich heute in den Kapitolinischen Museen. Das Kolosseum selbst hatte ursprünglich nur drei Ge</w:t>
      </w:r>
      <w:r>
        <w:softHyphen/>
        <w:t xml:space="preserve">schosse mit einer Attika, wie auf der Münze und in </w:t>
      </w:r>
      <w:r w:rsidR="0021243A">
        <w:t xml:space="preserve">Stradas </w:t>
      </w:r>
      <w:r>
        <w:t>Darstellung erkennbar: Das vierte Geschoss</w:t>
      </w:r>
      <w:r w:rsidR="0021243A">
        <w:t xml:space="preserve"> für die Befestigung der Sonnenschutzsegel</w:t>
      </w:r>
      <w:r>
        <w:t>, wurde erst später ergänzt. Stradas Darstellung hebt die in der Münze kaum sichtbare Loge im Zuschauerraum deutlich hervor und platziert darin den thro</w:t>
      </w:r>
      <w:r>
        <w:softHyphen/>
        <w:t>nenden Kaiser.</w:t>
      </w:r>
    </w:p>
    <w:p w:rsidR="0021243A" w:rsidRDefault="0021243A">
      <w:pPr>
        <w:pStyle w:val="noindent"/>
        <w:spacing w:line="276" w:lineRule="auto"/>
      </w:pPr>
      <w:r>
        <w:rPr>
          <w:b/>
          <w:noProof/>
        </w:rPr>
        <w:drawing>
          <wp:anchor distT="0" distB="0" distL="0" distR="0" simplePos="0" relativeHeight="21" behindDoc="0" locked="0" layoutInCell="1" allowOverlap="1">
            <wp:simplePos x="0" y="0"/>
            <wp:positionH relativeFrom="column">
              <wp:posOffset>601980</wp:posOffset>
            </wp:positionH>
            <wp:positionV relativeFrom="paragraph">
              <wp:posOffset>41910</wp:posOffset>
            </wp:positionV>
            <wp:extent cx="1851025" cy="1804035"/>
            <wp:effectExtent l="0" t="0" r="3175" b="0"/>
            <wp:wrapSquare wrapText="largest"/>
            <wp:docPr id="20" name="Bil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20"/>
                    <pic:cNvPicPr>
                      <a:picLocks noChangeAspect="1" noChangeArrowheads="1"/>
                    </pic:cNvPicPr>
                  </pic:nvPicPr>
                  <pic:blipFill>
                    <a:blip r:embed="rId26"/>
                    <a:stretch>
                      <a:fillRect/>
                    </a:stretch>
                  </pic:blipFill>
                  <pic:spPr bwMode="auto">
                    <a:xfrm>
                      <a:off x="0" y="0"/>
                      <a:ext cx="1851025" cy="1804035"/>
                    </a:xfrm>
                    <a:prstGeom prst="rect">
                      <a:avLst/>
                    </a:prstGeom>
                  </pic:spPr>
                </pic:pic>
              </a:graphicData>
            </a:graphic>
            <wp14:sizeRelH relativeFrom="margin">
              <wp14:pctWidth>0</wp14:pctWidth>
            </wp14:sizeRelH>
            <wp14:sizeRelV relativeFrom="margin">
              <wp14:pctHeight>0</wp14:pctHeight>
            </wp14:sizeRelV>
          </wp:anchor>
        </w:drawing>
      </w:r>
    </w:p>
    <w:p w:rsidR="00307781" w:rsidRDefault="00307781">
      <w:pPr>
        <w:pStyle w:val="noindent"/>
        <w:spacing w:line="276" w:lineRule="auto"/>
        <w:rPr>
          <w:b/>
        </w:rP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307781">
      <w:pPr>
        <w:pStyle w:val="noindent"/>
        <w:spacing w:line="276" w:lineRule="auto"/>
        <w:jc w:val="center"/>
      </w:pPr>
    </w:p>
    <w:p w:rsidR="00307781" w:rsidRDefault="00743576">
      <w:pPr>
        <w:pStyle w:val="noindent"/>
        <w:spacing w:line="276" w:lineRule="auto"/>
        <w:jc w:val="center"/>
      </w:pPr>
      <w:r>
        <w:rPr>
          <w:noProof/>
        </w:rPr>
        <w:lastRenderedPageBreak/>
        <w:drawing>
          <wp:anchor distT="0" distB="0" distL="0" distR="0" simplePos="0" relativeHeight="22" behindDoc="0" locked="0" layoutInCell="1" allowOverlap="1">
            <wp:simplePos x="0" y="0"/>
            <wp:positionH relativeFrom="column">
              <wp:posOffset>0</wp:posOffset>
            </wp:positionH>
            <wp:positionV relativeFrom="paragraph">
              <wp:posOffset>-5715</wp:posOffset>
            </wp:positionV>
            <wp:extent cx="3086100" cy="5144770"/>
            <wp:effectExtent l="0" t="0" r="0" b="0"/>
            <wp:wrapSquare wrapText="largest"/>
            <wp:docPr id="21" name="Bild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21"/>
                    <pic:cNvPicPr>
                      <a:picLocks noChangeAspect="1" noChangeArrowheads="1"/>
                    </pic:cNvPicPr>
                  </pic:nvPicPr>
                  <pic:blipFill>
                    <a:blip r:embed="rId27"/>
                    <a:stretch>
                      <a:fillRect/>
                    </a:stretch>
                  </pic:blipFill>
                  <pic:spPr bwMode="auto">
                    <a:xfrm>
                      <a:off x="0" y="0"/>
                      <a:ext cx="3086100" cy="5144770"/>
                    </a:xfrm>
                    <a:prstGeom prst="rect">
                      <a:avLst/>
                    </a:prstGeom>
                  </pic:spPr>
                </pic:pic>
              </a:graphicData>
            </a:graphic>
          </wp:anchor>
        </w:drawing>
      </w:r>
    </w:p>
    <w:p w:rsidR="00307781" w:rsidRDefault="00743576">
      <w:pPr>
        <w:pStyle w:val="noindent"/>
        <w:spacing w:line="276" w:lineRule="auto"/>
        <w:jc w:val="center"/>
      </w:pPr>
      <w:r>
        <w:t>Abb 19/20: Kolosseum / (Gotha Bd. 11, Bl. 129)</w:t>
      </w:r>
    </w:p>
    <w:p w:rsidR="00307781" w:rsidRDefault="00743576">
      <w:pPr>
        <w:pStyle w:val="noindent"/>
        <w:spacing w:line="276" w:lineRule="auto"/>
        <w:rPr>
          <w:b/>
        </w:rPr>
      </w:pPr>
      <w:r>
        <w:rPr>
          <w:b/>
        </w:rPr>
        <w:lastRenderedPageBreak/>
        <w:t>3.7 Pantheon</w:t>
      </w:r>
    </w:p>
    <w:p w:rsidR="00307781" w:rsidRDefault="00307781">
      <w:pPr>
        <w:pStyle w:val="noindent"/>
        <w:spacing w:line="276" w:lineRule="auto"/>
        <w:rPr>
          <w:b/>
        </w:rPr>
      </w:pPr>
    </w:p>
    <w:p w:rsidR="00307781" w:rsidRDefault="00743576">
      <w:pPr>
        <w:pStyle w:val="noindent"/>
        <w:spacing w:line="276" w:lineRule="auto"/>
      </w:pPr>
      <w:r>
        <w:t>Das Pantheon ist vermutlich ähnlich bekannt wie das Ko</w:t>
      </w:r>
      <w:r>
        <w:softHyphen/>
        <w:t>loss-eum: Allerdings ist sich die Forschung weder über sei</w:t>
      </w:r>
      <w:r>
        <w:softHyphen/>
        <w:t>ne Funktion noch die Gestalt des unter Augustus durch sei</w:t>
      </w:r>
      <w:r>
        <w:softHyphen/>
        <w:t>nen Freund Agrippa errichteten Vorgängerbaus einig. Zu</w:t>
      </w:r>
      <w:r>
        <w:softHyphen/>
        <w:t>mindest dürfte er noch keine Kuppel getragen haben, die dann im unter Trajan begonnenen Neubau für über 1700 Jahre die größte der Welt bleiben sollte! Aber nicht nur ist sich die Forschung relativ uneins bzgl. der Funktion und so</w:t>
      </w:r>
      <w:r>
        <w:softHyphen/>
        <w:t>gar des Namens dieses außergewöhnlichen Bauwerks, es sind auch keine Münzen bekannt, die es – bspw. anlässlich seiner Fertigstellung oder Restaurierung – darstellen!</w:t>
      </w:r>
    </w:p>
    <w:p w:rsidR="00307781" w:rsidRDefault="00743576">
      <w:pPr>
        <w:pStyle w:val="noindent"/>
        <w:spacing w:line="276" w:lineRule="auto"/>
        <w:ind w:firstLine="284"/>
      </w:pPr>
      <w:r>
        <w:t>Stradas Zeichnungen gehen also entweder auf zeitgenös</w:t>
      </w:r>
      <w:r>
        <w:softHyphen/>
        <w:t>sische und heute verloren gegangene Fälschungen zurück, die er nicht als solche erkannte, oder aber er hat sie selbst erfunden, weil er der Meinung war, dass es ähnliche Mün</w:t>
      </w:r>
      <w:r>
        <w:softHyphen/>
        <w:t xml:space="preserve">zen gegeben haben </w:t>
      </w:r>
      <w:r w:rsidRPr="00DC4FB9">
        <w:rPr>
          <w:i/>
        </w:rPr>
        <w:t>müsse</w:t>
      </w:r>
      <w:r>
        <w:t>: Dafür sprechen seine ür die Antike vollkommen außer</w:t>
      </w:r>
      <w:r>
        <w:softHyphen/>
        <w:t>gewöhnlich</w:t>
      </w:r>
      <w:r w:rsidR="00DC4FB9">
        <w:t xml:space="preserve"> Bilderfindungen dieser Münzzeichnungen</w:t>
      </w:r>
      <w:r>
        <w:t>.</w:t>
      </w:r>
    </w:p>
    <w:p w:rsidR="00307781" w:rsidRDefault="00743576">
      <w:pPr>
        <w:pStyle w:val="noindent"/>
        <w:spacing w:line="276" w:lineRule="auto"/>
        <w:ind w:firstLine="284"/>
      </w:pPr>
      <w:r>
        <w:t>Das macht diese Zeichnungen aber keineswegs vollkom-men wertlos, denn sie sind als Ausdruck des Bemühens zu verstehen, sich das sehr gut erhaltene antike Bauwerk über mehrere Phasen seiner Geschichte und der damit verbunde</w:t>
      </w:r>
      <w:r>
        <w:softHyphen/>
        <w:t xml:space="preserve">nen Umbauten und Rekonstruktionen zu vergegenwärtigen. In einem </w:t>
      </w:r>
      <w:r w:rsidR="00F067A5">
        <w:t>»</w:t>
      </w:r>
      <w:r>
        <w:t>kulturgeschichtlichen</w:t>
      </w:r>
      <w:r w:rsidR="00F067A5">
        <w:t>«</w:t>
      </w:r>
      <w:r>
        <w:t xml:space="preserve"> Überblick über die römi</w:t>
      </w:r>
      <w:r>
        <w:softHyphen/>
        <w:t xml:space="preserve">sche Geschichte, als welcher das </w:t>
      </w:r>
      <w:r>
        <w:rPr>
          <w:i/>
        </w:rPr>
        <w:t xml:space="preserve">Magnum ac Novum Opus </w:t>
      </w:r>
      <w:r>
        <w:t>vermutlich intendiert war</w:t>
      </w:r>
      <w:r w:rsidR="00F067A5">
        <w:t xml:space="preserve"> und benutzt werden sollte</w:t>
      </w:r>
      <w:r>
        <w:t xml:space="preserve">, durften (nacherfundene oder </w:t>
      </w:r>
      <w:r w:rsidR="00F067A5">
        <w:t>»</w:t>
      </w:r>
      <w:r>
        <w:t>re</w:t>
      </w:r>
      <w:r>
        <w:softHyphen/>
        <w:t>konstruierte</w:t>
      </w:r>
      <w:r w:rsidR="00F067A5">
        <w:t>«</w:t>
      </w:r>
      <w:r>
        <w:t>) Münzdarstellungen dieses prominenten Bau</w:t>
      </w:r>
      <w:r>
        <w:softHyphen/>
        <w:t xml:space="preserve">werks, des besterhaltenen der Antike, wohl nicht nur nach Meinung Stradas </w:t>
      </w:r>
      <w:r w:rsidR="00F067A5">
        <w:t>nicht</w:t>
      </w:r>
      <w:r>
        <w:t xml:space="preserve"> fehlen</w:t>
      </w:r>
      <w:r w:rsidR="00F067A5">
        <w:t xml:space="preserve"> und waren also zu »ergänzen«. Immerhin ist es ja nicht ausgeschlossen, dass solche Münzen doch noch gefunden werden…</w:t>
      </w:r>
    </w:p>
    <w:p w:rsidR="00307781" w:rsidRDefault="00743576">
      <w:pPr>
        <w:pStyle w:val="noindent"/>
        <w:spacing w:line="276" w:lineRule="auto"/>
        <w:jc w:val="center"/>
      </w:pPr>
      <w:r>
        <w:rPr>
          <w:noProof/>
        </w:rPr>
        <w:lastRenderedPageBreak/>
        <w:drawing>
          <wp:anchor distT="0" distB="0" distL="0" distR="0" simplePos="0" relativeHeight="23" behindDoc="0" locked="0" layoutInCell="1" allowOverlap="1">
            <wp:simplePos x="0" y="0"/>
            <wp:positionH relativeFrom="column">
              <wp:align>center</wp:align>
            </wp:positionH>
            <wp:positionV relativeFrom="paragraph">
              <wp:posOffset>635</wp:posOffset>
            </wp:positionV>
            <wp:extent cx="3086100" cy="5144770"/>
            <wp:effectExtent l="0" t="0" r="0" b="0"/>
            <wp:wrapSquare wrapText="largest"/>
            <wp:docPr id="22" name="Bild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22"/>
                    <pic:cNvPicPr>
                      <a:picLocks noChangeAspect="1" noChangeArrowheads="1"/>
                    </pic:cNvPicPr>
                  </pic:nvPicPr>
                  <pic:blipFill>
                    <a:blip r:embed="rId27"/>
                    <a:stretch>
                      <a:fillRect/>
                    </a:stretch>
                  </pic:blipFill>
                  <pic:spPr bwMode="auto">
                    <a:xfrm>
                      <a:off x="0" y="0"/>
                      <a:ext cx="3086100" cy="5144770"/>
                    </a:xfrm>
                    <a:prstGeom prst="rect">
                      <a:avLst/>
                    </a:prstGeom>
                  </pic:spPr>
                </pic:pic>
              </a:graphicData>
            </a:graphic>
          </wp:anchor>
        </w:drawing>
      </w:r>
    </w:p>
    <w:p w:rsidR="00307781" w:rsidRDefault="00743576">
      <w:pPr>
        <w:pStyle w:val="noindent"/>
        <w:spacing w:line="276" w:lineRule="auto"/>
        <w:jc w:val="center"/>
      </w:pPr>
      <w:r>
        <w:rPr>
          <w:sz w:val="18"/>
          <w:szCs w:val="18"/>
        </w:rPr>
        <w:t>Abb. 2</w:t>
      </w:r>
      <w:r w:rsidR="0089208D">
        <w:rPr>
          <w:sz w:val="18"/>
          <w:szCs w:val="18"/>
        </w:rPr>
        <w:t>1</w:t>
      </w:r>
      <w:r>
        <w:rPr>
          <w:sz w:val="18"/>
          <w:szCs w:val="18"/>
        </w:rPr>
        <w:t>: Pantheon (Gotha Bd. ?, Bl. ??)</w:t>
      </w:r>
    </w:p>
    <w:p w:rsidR="00307781" w:rsidRDefault="00743576">
      <w:pPr>
        <w:pStyle w:val="noindent"/>
        <w:spacing w:line="276" w:lineRule="auto"/>
        <w:rPr>
          <w:rStyle w:val="titlemark"/>
          <w:rFonts w:eastAsia="Times New Roman"/>
        </w:rPr>
      </w:pPr>
      <w:r>
        <w:rPr>
          <w:b/>
        </w:rPr>
        <w:lastRenderedPageBreak/>
        <w:t>3.8 Trajans-Forum</w:t>
      </w:r>
      <w:r>
        <w:rPr>
          <w:rStyle w:val="titlemark"/>
          <w:rFonts w:eastAsia="Times New Roman"/>
        </w:rPr>
        <w:t xml:space="preserve"> </w:t>
      </w:r>
    </w:p>
    <w:p w:rsidR="00307781" w:rsidRDefault="00743576">
      <w:pPr>
        <w:pStyle w:val="noindent"/>
        <w:spacing w:line="276" w:lineRule="auto"/>
        <w:rPr>
          <w:rStyle w:val="titlemark"/>
          <w:rFonts w:eastAsia="Times New Roman"/>
        </w:rPr>
      </w:pPr>
      <w:r>
        <w:rPr>
          <w:rStyle w:val="titlemark"/>
          <w:rFonts w:eastAsia="Times New Roman"/>
        </w:rPr>
        <w:t>Diese Darstellungen sind besonders interessant, weil Strada in einem Fall ein auffallend grobes Missverständnis unter</w:t>
      </w:r>
      <w:r>
        <w:rPr>
          <w:rStyle w:val="titlemark"/>
          <w:rFonts w:eastAsia="Times New Roman"/>
        </w:rPr>
        <w:softHyphen/>
        <w:t>lief und er in den beiden anderen archäologischen Erkennt</w:t>
      </w:r>
      <w:r>
        <w:rPr>
          <w:rStyle w:val="titlemark"/>
          <w:rFonts w:eastAsia="Times New Roman"/>
        </w:rPr>
        <w:softHyphen/>
        <w:t>nissen vorgreift, die sich erst mit der vollständigen Ausgra</w:t>
      </w:r>
      <w:r>
        <w:rPr>
          <w:rStyle w:val="titlemark"/>
          <w:rFonts w:eastAsia="Times New Roman"/>
        </w:rPr>
        <w:softHyphen/>
        <w:t xml:space="preserve">bung seit den 1990er Jahren bestätigen sollten:  </w:t>
      </w:r>
    </w:p>
    <w:p w:rsidR="00307781" w:rsidRDefault="00307781">
      <w:pPr>
        <w:pStyle w:val="noindent"/>
        <w:spacing w:line="276" w:lineRule="auto"/>
        <w:rPr>
          <w:rStyle w:val="titlemark"/>
          <w:rFonts w:eastAsia="Times New Roman"/>
        </w:rPr>
      </w:pPr>
    </w:p>
    <w:p w:rsidR="00D46E34" w:rsidRPr="003A7AD6" w:rsidRDefault="00743576">
      <w:pPr>
        <w:pStyle w:val="noindent"/>
        <w:spacing w:line="276" w:lineRule="auto"/>
        <w:rPr>
          <w:rStyle w:val="titlemark"/>
          <w:rFonts w:eastAsia="Times New Roman"/>
          <w:i/>
        </w:rPr>
      </w:pPr>
      <w:r w:rsidRPr="003A7AD6">
        <w:rPr>
          <w:rStyle w:val="titlemark"/>
          <w:rFonts w:eastAsia="Times New Roman"/>
          <w:i/>
        </w:rPr>
        <w:t>3.8.1. Der Circus Maximus als Trajans-Forum</w:t>
      </w:r>
    </w:p>
    <w:p w:rsidR="00307781" w:rsidRDefault="00743576">
      <w:pPr>
        <w:pStyle w:val="noindent"/>
        <w:spacing w:line="276" w:lineRule="auto"/>
        <w:rPr>
          <w:rStyle w:val="titlemark"/>
          <w:rFonts w:eastAsia="Times New Roman"/>
        </w:rPr>
      </w:pPr>
      <w:r>
        <w:rPr>
          <w:rStyle w:val="titlemark"/>
          <w:rFonts w:eastAsia="Times New Roman"/>
        </w:rPr>
        <w:t>Diese Darstellung geht eindeutig auf eine Münze des Circus Maximus aus trajanischer Zeit zurück, deutet aber einige Elemente der Münzdarstellung als Bauten des Trajans-Fo</w:t>
      </w:r>
      <w:r>
        <w:rPr>
          <w:rStyle w:val="titlemark"/>
          <w:rFonts w:eastAsia="Times New Roman"/>
        </w:rPr>
        <w:softHyphen/>
        <w:t>rums und seiner Umgebung</w:t>
      </w:r>
      <w:r w:rsidR="007959EC">
        <w:rPr>
          <w:rStyle w:val="titlemark"/>
          <w:rFonts w:eastAsia="Times New Roman"/>
        </w:rPr>
        <w:t xml:space="preserve"> um!</w:t>
      </w:r>
      <w:r>
        <w:rPr>
          <w:rStyle w:val="titlemark"/>
          <w:rFonts w:eastAsia="Times New Roman"/>
        </w:rPr>
        <w:t xml:space="preserve"> So wird bspw. rechts die mit</w:t>
      </w:r>
      <w:r>
        <w:rPr>
          <w:rStyle w:val="titlemark"/>
          <w:rFonts w:eastAsia="Times New Roman"/>
        </w:rPr>
        <w:softHyphen/>
        <w:t>telalterliche</w:t>
      </w:r>
      <w:r w:rsidR="007959EC">
        <w:rPr>
          <w:rStyle w:val="titlemark"/>
          <w:rFonts w:eastAsia="Times New Roman"/>
        </w:rPr>
        <w:t xml:space="preserve"> (!)</w:t>
      </w:r>
      <w:r>
        <w:rPr>
          <w:rStyle w:val="titlemark"/>
          <w:rFonts w:eastAsia="Times New Roman"/>
        </w:rPr>
        <w:t xml:space="preserve"> </w:t>
      </w:r>
      <w:r>
        <w:rPr>
          <w:rStyle w:val="titlemark"/>
          <w:rFonts w:eastAsia="Times New Roman"/>
          <w:i/>
        </w:rPr>
        <w:t>Torre delle Milizie</w:t>
      </w:r>
      <w:r>
        <w:rPr>
          <w:rStyle w:val="titlemark"/>
          <w:rFonts w:eastAsia="Times New Roman"/>
        </w:rPr>
        <w:t xml:space="preserve"> gezeigt, deren senkrechte Gliederung derjenigen de</w:t>
      </w:r>
      <w:r w:rsidR="003108FA">
        <w:rPr>
          <w:rStyle w:val="titlemark"/>
          <w:rFonts w:eastAsia="Times New Roman"/>
        </w:rPr>
        <w:t>r</w:t>
      </w:r>
      <w:r>
        <w:rPr>
          <w:rStyle w:val="titlemark"/>
          <w:rFonts w:eastAsia="Times New Roman"/>
        </w:rPr>
        <w:t xml:space="preserve"> Abschlussbauten des Circus gleicht. Und ein Obelisk auf der Spina, der zwischen den beiden Hälften der Rennbahn verlaufenden Begrenzung, wird </w:t>
      </w:r>
      <w:r w:rsidR="003108FA">
        <w:rPr>
          <w:rStyle w:val="titlemark"/>
          <w:rFonts w:eastAsia="Times New Roman"/>
        </w:rPr>
        <w:t xml:space="preserve">sogar </w:t>
      </w:r>
      <w:r>
        <w:rPr>
          <w:rStyle w:val="titlemark"/>
          <w:rFonts w:eastAsia="Times New Roman"/>
        </w:rPr>
        <w:t>als Trajans-Säule gedeutet! Strada scheint sich auch nicht daran gestört zu haben, dass neben einer von ihm als Trajans Reiterstandbild (von dessen Existenz auf dem Fo</w:t>
      </w:r>
      <w:r>
        <w:rPr>
          <w:rStyle w:val="titlemark"/>
          <w:rFonts w:eastAsia="Times New Roman"/>
        </w:rPr>
        <w:softHyphen/>
        <w:t>rum man wusste) umgedeutet</w:t>
      </w:r>
      <w:r w:rsidR="003108FA">
        <w:rPr>
          <w:rStyle w:val="titlemark"/>
          <w:rFonts w:eastAsia="Times New Roman"/>
        </w:rPr>
        <w:t>e</w:t>
      </w:r>
      <w:r>
        <w:rPr>
          <w:rStyle w:val="titlemark"/>
          <w:rFonts w:eastAsia="Times New Roman"/>
        </w:rPr>
        <w:t>n Reiterfigur auch mehrspän</w:t>
      </w:r>
      <w:r>
        <w:rPr>
          <w:rStyle w:val="titlemark"/>
          <w:rFonts w:eastAsia="Times New Roman"/>
        </w:rPr>
        <w:softHyphen/>
        <w:t xml:space="preserve">nige Renn-wagen das vermeintliche Forum befuhren. </w:t>
      </w:r>
      <w:r w:rsidR="0040461E">
        <w:rPr>
          <w:rStyle w:val="titlemark"/>
          <w:rFonts w:eastAsia="Times New Roman"/>
        </w:rPr>
        <w:t>Über die Hintergründe dieses Missverständnisses kann man nur spekulieren.</w:t>
      </w:r>
    </w:p>
    <w:p w:rsidR="00307781" w:rsidRDefault="005B071B">
      <w:pPr>
        <w:pStyle w:val="noindent"/>
        <w:spacing w:line="276" w:lineRule="auto"/>
        <w:rPr>
          <w:rStyle w:val="titlemark"/>
          <w:rFonts w:eastAsia="Times New Roman"/>
        </w:rPr>
      </w:pPr>
      <w:r>
        <w:rPr>
          <w:rFonts w:eastAsia="Times New Roman"/>
          <w:noProof/>
        </w:rPr>
        <w:drawing>
          <wp:inline distT="0" distB="0" distL="0" distR="0">
            <wp:extent cx="1536492" cy="1565482"/>
            <wp:effectExtent l="0" t="0" r="63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6_Circus_Maximu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38210" cy="1567233"/>
                    </a:xfrm>
                    <a:prstGeom prst="rect">
                      <a:avLst/>
                    </a:prstGeom>
                  </pic:spPr>
                </pic:pic>
              </a:graphicData>
            </a:graphic>
          </wp:inline>
        </w:drawing>
      </w:r>
      <w:r>
        <w:rPr>
          <w:rFonts w:eastAsia="Times New Roman"/>
          <w:noProof/>
        </w:rPr>
        <w:drawing>
          <wp:inline distT="0" distB="0" distL="0" distR="0">
            <wp:extent cx="1519171" cy="1540427"/>
            <wp:effectExtent l="0" t="0" r="508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5_Forum_Traiani_Münz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29024" cy="1550418"/>
                    </a:xfrm>
                    <a:prstGeom prst="rect">
                      <a:avLst/>
                    </a:prstGeom>
                  </pic:spPr>
                </pic:pic>
              </a:graphicData>
            </a:graphic>
          </wp:inline>
        </w:drawing>
      </w:r>
    </w:p>
    <w:p w:rsidR="005B071B" w:rsidRDefault="005B071B" w:rsidP="005B071B">
      <w:pPr>
        <w:pStyle w:val="noindent"/>
        <w:spacing w:line="276" w:lineRule="auto"/>
        <w:jc w:val="center"/>
        <w:rPr>
          <w:rStyle w:val="titlemark"/>
          <w:rFonts w:eastAsia="Times New Roman"/>
        </w:rPr>
      </w:pPr>
      <w:r>
        <w:rPr>
          <w:rStyle w:val="titlemark"/>
          <w:rFonts w:eastAsia="Times New Roman"/>
        </w:rPr>
        <w:t>Abb. 22/23: Circus Maximus / Forum Traiani</w:t>
      </w:r>
    </w:p>
    <w:p w:rsidR="00307781" w:rsidRDefault="00743576">
      <w:pPr>
        <w:pStyle w:val="noindent"/>
        <w:spacing w:line="276" w:lineRule="auto"/>
        <w:jc w:val="center"/>
        <w:rPr>
          <w:rStyle w:val="titlemark"/>
          <w:rFonts w:eastAsia="Times New Roman"/>
          <w:sz w:val="18"/>
          <w:szCs w:val="18"/>
        </w:rPr>
      </w:pPr>
      <w:r>
        <w:rPr>
          <w:noProof/>
        </w:rPr>
        <w:lastRenderedPageBreak/>
        <w:drawing>
          <wp:anchor distT="0" distB="0" distL="0" distR="0" simplePos="0" relativeHeight="24" behindDoc="0" locked="0" layoutInCell="1" allowOverlap="1">
            <wp:simplePos x="0" y="0"/>
            <wp:positionH relativeFrom="column">
              <wp:align>center</wp:align>
            </wp:positionH>
            <wp:positionV relativeFrom="paragraph">
              <wp:posOffset>635</wp:posOffset>
            </wp:positionV>
            <wp:extent cx="3086100" cy="5153025"/>
            <wp:effectExtent l="0" t="0" r="0" b="0"/>
            <wp:wrapSquare wrapText="largest"/>
            <wp:docPr id="23" name="Bil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23"/>
                    <pic:cNvPicPr>
                      <a:picLocks noChangeAspect="1" noChangeArrowheads="1"/>
                    </pic:cNvPicPr>
                  </pic:nvPicPr>
                  <pic:blipFill>
                    <a:blip r:embed="rId30"/>
                    <a:stretch>
                      <a:fillRect/>
                    </a:stretch>
                  </pic:blipFill>
                  <pic:spPr bwMode="auto">
                    <a:xfrm>
                      <a:off x="0" y="0"/>
                      <a:ext cx="3086100" cy="5153025"/>
                    </a:xfrm>
                    <a:prstGeom prst="rect">
                      <a:avLst/>
                    </a:prstGeom>
                  </pic:spPr>
                </pic:pic>
              </a:graphicData>
            </a:graphic>
          </wp:anchor>
        </w:drawing>
      </w:r>
    </w:p>
    <w:p w:rsidR="00307781" w:rsidRDefault="00743576">
      <w:pPr>
        <w:pStyle w:val="noindent"/>
        <w:spacing w:line="276" w:lineRule="auto"/>
        <w:jc w:val="center"/>
      </w:pPr>
      <w:r>
        <w:rPr>
          <w:rStyle w:val="titlemark"/>
          <w:rFonts w:eastAsia="Times New Roman"/>
          <w:sz w:val="18"/>
          <w:szCs w:val="18"/>
        </w:rPr>
        <w:t>Abb. 2</w:t>
      </w:r>
      <w:r w:rsidR="003A7AD6">
        <w:rPr>
          <w:rStyle w:val="titlemark"/>
          <w:rFonts w:eastAsia="Times New Roman"/>
          <w:sz w:val="18"/>
          <w:szCs w:val="18"/>
        </w:rPr>
        <w:t>4</w:t>
      </w:r>
      <w:r>
        <w:rPr>
          <w:rStyle w:val="titlemark"/>
          <w:rFonts w:eastAsia="Times New Roman"/>
          <w:sz w:val="18"/>
          <w:szCs w:val="18"/>
        </w:rPr>
        <w:t>: Circus Maximus/Trajans-Forum (Gotha, Bd. 14, Bl. 272)</w:t>
      </w:r>
    </w:p>
    <w:p w:rsidR="00307781" w:rsidRDefault="00743576">
      <w:pPr>
        <w:pStyle w:val="noindent"/>
        <w:spacing w:line="276" w:lineRule="auto"/>
        <w:jc w:val="center"/>
        <w:rPr>
          <w:rStyle w:val="titlemark"/>
          <w:rFonts w:eastAsia="Times New Roman"/>
          <w:sz w:val="18"/>
          <w:szCs w:val="18"/>
        </w:rPr>
      </w:pPr>
      <w:r>
        <w:rPr>
          <w:rFonts w:eastAsia="Times New Roman"/>
          <w:noProof/>
          <w:sz w:val="18"/>
          <w:szCs w:val="18"/>
        </w:rPr>
        <w:lastRenderedPageBreak/>
        <w:drawing>
          <wp:anchor distT="0" distB="0" distL="0" distR="0" simplePos="0" relativeHeight="25" behindDoc="0" locked="0" layoutInCell="1" allowOverlap="1">
            <wp:simplePos x="0" y="0"/>
            <wp:positionH relativeFrom="column">
              <wp:posOffset>0</wp:posOffset>
            </wp:positionH>
            <wp:positionV relativeFrom="paragraph">
              <wp:posOffset>29210</wp:posOffset>
            </wp:positionV>
            <wp:extent cx="3086100" cy="5113655"/>
            <wp:effectExtent l="0" t="0" r="0" b="0"/>
            <wp:wrapSquare wrapText="largest"/>
            <wp:docPr id="24" name="Bild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24"/>
                    <pic:cNvPicPr>
                      <a:picLocks noChangeAspect="1" noChangeArrowheads="1"/>
                    </pic:cNvPicPr>
                  </pic:nvPicPr>
                  <pic:blipFill>
                    <a:blip r:embed="rId31"/>
                    <a:stretch>
                      <a:fillRect/>
                    </a:stretch>
                  </pic:blipFill>
                  <pic:spPr bwMode="auto">
                    <a:xfrm>
                      <a:off x="0" y="0"/>
                      <a:ext cx="3086100" cy="5113655"/>
                    </a:xfrm>
                    <a:prstGeom prst="rect">
                      <a:avLst/>
                    </a:prstGeom>
                  </pic:spPr>
                </pic:pic>
              </a:graphicData>
            </a:graphic>
          </wp:anchor>
        </w:drawing>
      </w:r>
    </w:p>
    <w:p w:rsidR="00307781" w:rsidRDefault="00743576">
      <w:pPr>
        <w:pStyle w:val="noindent"/>
        <w:spacing w:line="276" w:lineRule="auto"/>
        <w:jc w:val="center"/>
      </w:pPr>
      <w:r>
        <w:rPr>
          <w:rStyle w:val="titlemark"/>
          <w:rFonts w:eastAsia="Times New Roman"/>
          <w:sz w:val="18"/>
          <w:szCs w:val="18"/>
        </w:rPr>
        <w:t>Abb.</w:t>
      </w:r>
      <w:r w:rsidR="0089208D">
        <w:rPr>
          <w:rStyle w:val="titlemark"/>
          <w:rFonts w:eastAsia="Times New Roman"/>
          <w:sz w:val="18"/>
          <w:szCs w:val="18"/>
        </w:rPr>
        <w:t xml:space="preserve"> 2</w:t>
      </w:r>
      <w:r w:rsidR="003A7AD6">
        <w:rPr>
          <w:rStyle w:val="titlemark"/>
          <w:rFonts w:eastAsia="Times New Roman"/>
          <w:sz w:val="18"/>
          <w:szCs w:val="18"/>
        </w:rPr>
        <w:t>5</w:t>
      </w:r>
      <w:r w:rsidR="0089208D">
        <w:rPr>
          <w:rStyle w:val="titlemark"/>
          <w:rFonts w:eastAsia="Times New Roman"/>
          <w:sz w:val="18"/>
          <w:szCs w:val="18"/>
        </w:rPr>
        <w:t>:</w:t>
      </w:r>
      <w:r>
        <w:rPr>
          <w:rStyle w:val="titlemark"/>
          <w:rFonts w:eastAsia="Times New Roman"/>
          <w:sz w:val="18"/>
          <w:szCs w:val="18"/>
        </w:rPr>
        <w:t xml:space="preserve"> Trajans-Forum, Portal (Gotha Bd. 14, Bl. 176)</w:t>
      </w:r>
    </w:p>
    <w:p w:rsidR="00307781" w:rsidRDefault="00743576">
      <w:pPr>
        <w:pStyle w:val="noindent"/>
        <w:spacing w:line="276" w:lineRule="auto"/>
        <w:rPr>
          <w:rStyle w:val="titlemark"/>
          <w:rFonts w:eastAsia="Times New Roman"/>
          <w:b/>
          <w:szCs w:val="20"/>
        </w:rPr>
      </w:pPr>
      <w:r>
        <w:rPr>
          <w:noProof/>
        </w:rPr>
        <w:lastRenderedPageBreak/>
        <w:drawing>
          <wp:anchor distT="0" distB="0" distL="0" distR="0" simplePos="0" relativeHeight="26" behindDoc="0" locked="0" layoutInCell="1" allowOverlap="1">
            <wp:simplePos x="0" y="0"/>
            <wp:positionH relativeFrom="column">
              <wp:posOffset>2540</wp:posOffset>
            </wp:positionH>
            <wp:positionV relativeFrom="paragraph">
              <wp:posOffset>0</wp:posOffset>
            </wp:positionV>
            <wp:extent cx="3178175" cy="5096510"/>
            <wp:effectExtent l="0" t="0" r="0" b="0"/>
            <wp:wrapSquare wrapText="largest"/>
            <wp:docPr id="25" name="Bild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25"/>
                    <pic:cNvPicPr>
                      <a:picLocks noChangeAspect="1" noChangeArrowheads="1"/>
                    </pic:cNvPicPr>
                  </pic:nvPicPr>
                  <pic:blipFill>
                    <a:blip r:embed="rId32"/>
                    <a:stretch>
                      <a:fillRect/>
                    </a:stretch>
                  </pic:blipFill>
                  <pic:spPr bwMode="auto">
                    <a:xfrm>
                      <a:off x="0" y="0"/>
                      <a:ext cx="3178175" cy="5096510"/>
                    </a:xfrm>
                    <a:prstGeom prst="rect">
                      <a:avLst/>
                    </a:prstGeom>
                  </pic:spPr>
                </pic:pic>
              </a:graphicData>
            </a:graphic>
            <wp14:sizeRelH relativeFrom="margin">
              <wp14:pctWidth>0</wp14:pctWidth>
            </wp14:sizeRelH>
            <wp14:sizeRelV relativeFrom="margin">
              <wp14:pctHeight>0</wp14:pctHeight>
            </wp14:sizeRelV>
          </wp:anchor>
        </w:drawing>
      </w:r>
    </w:p>
    <w:p w:rsidR="00307781" w:rsidRDefault="00743576">
      <w:pPr>
        <w:pStyle w:val="noindent"/>
        <w:spacing w:line="276" w:lineRule="auto"/>
        <w:jc w:val="center"/>
      </w:pPr>
      <w:r>
        <w:rPr>
          <w:rStyle w:val="titlemark"/>
          <w:rFonts w:eastAsia="Times New Roman"/>
          <w:sz w:val="18"/>
          <w:szCs w:val="18"/>
        </w:rPr>
        <w:t>Abb. 2</w:t>
      </w:r>
      <w:r w:rsidR="003A7AD6">
        <w:rPr>
          <w:rStyle w:val="titlemark"/>
          <w:rFonts w:eastAsia="Times New Roman"/>
          <w:sz w:val="18"/>
          <w:szCs w:val="18"/>
        </w:rPr>
        <w:t>6</w:t>
      </w:r>
      <w:r>
        <w:rPr>
          <w:rStyle w:val="titlemark"/>
          <w:rFonts w:eastAsia="Times New Roman"/>
          <w:sz w:val="18"/>
          <w:szCs w:val="18"/>
        </w:rPr>
        <w:t>: Basilika Ulpia (Gotha Bd. 14, Bl. 448)</w:t>
      </w:r>
    </w:p>
    <w:p w:rsidR="005B071B" w:rsidRPr="003A7AD6" w:rsidRDefault="005B071B" w:rsidP="005B071B">
      <w:pPr>
        <w:pStyle w:val="noindent"/>
        <w:spacing w:line="276" w:lineRule="auto"/>
        <w:rPr>
          <w:rStyle w:val="titlemark"/>
          <w:rFonts w:eastAsia="Times New Roman"/>
          <w:i/>
        </w:rPr>
      </w:pPr>
      <w:r w:rsidRPr="003A7AD6">
        <w:rPr>
          <w:rStyle w:val="titlemark"/>
          <w:rFonts w:eastAsia="Times New Roman"/>
          <w:i/>
        </w:rPr>
        <w:lastRenderedPageBreak/>
        <w:t>3.8.2 Eingangsportal des Trajans-Forums</w:t>
      </w:r>
    </w:p>
    <w:p w:rsidR="005B071B" w:rsidRDefault="005B071B" w:rsidP="005B071B">
      <w:pPr>
        <w:pStyle w:val="noindent"/>
        <w:spacing w:line="276" w:lineRule="auto"/>
        <w:rPr>
          <w:rStyle w:val="titlemark"/>
          <w:rFonts w:eastAsia="Times New Roman"/>
        </w:rPr>
      </w:pPr>
      <w:r>
        <w:rPr>
          <w:rStyle w:val="titlemark"/>
          <w:rFonts w:eastAsia="Times New Roman"/>
        </w:rPr>
        <w:t>Hier scheint Strada dagegen aus der vergleichsweise viele Details bietenden Münze zumeist richtige Schlussfolgerun-gen für seine Darstellung gezogen zu haben: Der reicht ver</w:t>
      </w:r>
      <w:r>
        <w:rPr>
          <w:rStyle w:val="titlemark"/>
          <w:rFonts w:eastAsia="Times New Roman"/>
        </w:rPr>
        <w:softHyphen/>
        <w:t>zierte Haupteingang zum Forum befand sich an dessen süd</w:t>
      </w:r>
      <w:r>
        <w:rPr>
          <w:rStyle w:val="titlemark"/>
          <w:rFonts w:eastAsia="Times New Roman"/>
        </w:rPr>
        <w:softHyphen/>
        <w:t>östlicher Seite, und seine mehrachsige Gestalt wurde erst durch die kürzlich ergrabenen Fundamente bestätigt. Die von Strada gezeigten Statuen auf der Attika und in den Ni</w:t>
      </w:r>
      <w:r>
        <w:rPr>
          <w:rStyle w:val="titlemark"/>
          <w:rFonts w:eastAsia="Times New Roman"/>
        </w:rPr>
        <w:softHyphen/>
        <w:t>schen lassen sich deutlich im Münzbild erkennen.</w:t>
      </w:r>
    </w:p>
    <w:p w:rsidR="005B071B" w:rsidRDefault="005B071B" w:rsidP="005B071B">
      <w:pPr>
        <w:pStyle w:val="noindent"/>
        <w:spacing w:line="276" w:lineRule="auto"/>
        <w:rPr>
          <w:rStyle w:val="titlemark"/>
          <w:rFonts w:eastAsia="Times New Roman"/>
        </w:rPr>
      </w:pPr>
    </w:p>
    <w:p w:rsidR="00307781" w:rsidRPr="003A7AD6" w:rsidRDefault="00743576">
      <w:pPr>
        <w:pStyle w:val="noindent"/>
        <w:spacing w:line="276" w:lineRule="auto"/>
        <w:rPr>
          <w:rStyle w:val="titlemark"/>
          <w:rFonts w:eastAsia="Times New Roman"/>
          <w:i/>
          <w:szCs w:val="20"/>
        </w:rPr>
      </w:pPr>
      <w:r w:rsidRPr="003A7AD6">
        <w:rPr>
          <w:rStyle w:val="titlemark"/>
          <w:rFonts w:eastAsia="Times New Roman"/>
          <w:i/>
          <w:szCs w:val="20"/>
        </w:rPr>
        <w:t>3.8.3 Basilika Ulpia (Gotha Bd. 14, Bl. 448)</w:t>
      </w:r>
    </w:p>
    <w:p w:rsidR="00307781" w:rsidRDefault="00743576">
      <w:pPr>
        <w:pStyle w:val="noindent"/>
        <w:spacing w:line="276" w:lineRule="auto"/>
        <w:rPr>
          <w:rStyle w:val="titlemark"/>
          <w:rFonts w:eastAsia="Times New Roman"/>
          <w:szCs w:val="20"/>
        </w:rPr>
      </w:pPr>
      <w:r>
        <w:rPr>
          <w:rStyle w:val="titlemark"/>
          <w:rFonts w:eastAsia="Times New Roman"/>
          <w:szCs w:val="20"/>
        </w:rPr>
        <w:t>Diese eher unscheinbare Darstellung ist vor allem deshalb erstaunlich, weil sie die durch die jüngeren Ausgrabungen bestätigte Gestalt der zeitweilig größten Basilika Roms sehr korrekt wiedergibt: Gezeigt ist ihre Ansicht vom Trajans-Forum aus, dessen nördliche eine Schmalseite sie abschloss. Dies ist an den drei vor die Fassade gesetzten Blöcken er</w:t>
      </w:r>
      <w:r>
        <w:rPr>
          <w:rStyle w:val="titlemark"/>
          <w:rFonts w:eastAsia="Times New Roman"/>
          <w:szCs w:val="20"/>
        </w:rPr>
        <w:softHyphen/>
        <w:t>kennbar, welche die drei Eingänge rahmten. Während Stra</w:t>
      </w:r>
      <w:r>
        <w:rPr>
          <w:rStyle w:val="titlemark"/>
          <w:rFonts w:eastAsia="Times New Roman"/>
          <w:szCs w:val="20"/>
        </w:rPr>
        <w:softHyphen/>
        <w:t>da vermutlich ebenfalls korrekt die Vorbauten mit monu-mentalen Standbildern bekrönt, bleiben deren Frontfelder er-staunlicherweise leer: Da sich dem Münzbild aber keine Reliefs, Fenster o.ä. entnehmen lassen, hat Strada diese ver</w:t>
      </w:r>
      <w:r>
        <w:rPr>
          <w:rStyle w:val="titlemark"/>
          <w:rFonts w:eastAsia="Times New Roman"/>
          <w:szCs w:val="20"/>
        </w:rPr>
        <w:softHyphen/>
        <w:t>mutlich auch nicht «hinzuerfunden», obwohl die großen lee</w:t>
      </w:r>
      <w:r>
        <w:rPr>
          <w:rStyle w:val="titlemark"/>
          <w:rFonts w:eastAsia="Times New Roman"/>
          <w:szCs w:val="20"/>
        </w:rPr>
        <w:softHyphen/>
        <w:t>ren Flächen in der Antike kaum so ausgesehen haben dürf</w:t>
      </w:r>
      <w:r>
        <w:rPr>
          <w:rStyle w:val="titlemark"/>
          <w:rFonts w:eastAsia="Times New Roman"/>
          <w:szCs w:val="20"/>
        </w:rPr>
        <w:softHyphen/>
        <w:t>ten.</w:t>
      </w:r>
    </w:p>
    <w:p w:rsidR="00307781" w:rsidRDefault="00307781">
      <w:pPr>
        <w:pStyle w:val="noindent"/>
        <w:spacing w:line="276" w:lineRule="auto"/>
        <w:rPr>
          <w:rStyle w:val="titlemark"/>
          <w:rFonts w:eastAsia="Times New Roman"/>
          <w:sz w:val="18"/>
          <w:szCs w:val="18"/>
        </w:rPr>
      </w:pPr>
    </w:p>
    <w:p w:rsidR="00307781" w:rsidRDefault="00743576">
      <w:pPr>
        <w:pStyle w:val="noindent"/>
        <w:spacing w:line="276" w:lineRule="auto"/>
        <w:rPr>
          <w:b/>
        </w:rPr>
      </w:pPr>
      <w:r>
        <w:rPr>
          <w:b/>
        </w:rPr>
        <w:t xml:space="preserve">4. Rom in Gotha </w:t>
      </w:r>
    </w:p>
    <w:p w:rsidR="00307781" w:rsidRDefault="00307781">
      <w:pPr>
        <w:pStyle w:val="noindent"/>
        <w:spacing w:line="276" w:lineRule="auto"/>
      </w:pPr>
    </w:p>
    <w:p w:rsidR="00307781" w:rsidRDefault="00743576">
      <w:pPr>
        <w:pStyle w:val="noindent"/>
        <w:spacing w:line="276" w:lineRule="auto"/>
      </w:pPr>
      <w:r>
        <w:t xml:space="preserve">Diese wenigen Beispiele mögen genügen um zu zeigen, dass man sich anhand der Münzen und ihrer Darstellungen durch Strada auch fernab der </w:t>
      </w:r>
      <w:r>
        <w:rPr>
          <w:i/>
        </w:rPr>
        <w:t>Ewigen Stadt</w:t>
      </w:r>
      <w:r>
        <w:t xml:space="preserve"> einen durchaus imposanten Eindruck von ihren bedeutendsten Monumenten machen konnte: Im Gothaer Münzkabinett konnte man (spä</w:t>
      </w:r>
      <w:r>
        <w:softHyphen/>
        <w:t xml:space="preserve">ter) also anhand der kostbaren originalen Münzen und der </w:t>
      </w:r>
      <w:r>
        <w:lastRenderedPageBreak/>
        <w:t>Zeichnungen Stradas, die diese mit zusätzlichen Informatio</w:t>
      </w:r>
      <w:r>
        <w:softHyphen/>
        <w:t>nen ‘anreicherten’ sowie ggf. </w:t>
      </w:r>
      <w:r w:rsidR="003A7AD6">
        <w:t xml:space="preserve">mit </w:t>
      </w:r>
      <w:r>
        <w:t xml:space="preserve">weiterführender Literatur und Stiche nicht nur die Architektur Roms kennenlernen, </w:t>
      </w:r>
      <w:r w:rsidR="003A7AD6">
        <w:t xml:space="preserve">sondern </w:t>
      </w:r>
      <w:r>
        <w:t>sich zu nahezu jedem Thema der antiken Kultur einen Über</w:t>
      </w:r>
      <w:r>
        <w:softHyphen/>
        <w:t xml:space="preserve">blick verschaffen, der auf originalen Zeugnissen und deren gelehrter Interpretation beruhte. </w:t>
      </w:r>
    </w:p>
    <w:p w:rsidR="00307781" w:rsidRDefault="00743576">
      <w:pPr>
        <w:pStyle w:val="noindent"/>
        <w:spacing w:line="276" w:lineRule="auto"/>
        <w:ind w:firstLine="284"/>
      </w:pPr>
      <w:r>
        <w:t>Im speziellen Fall der Architektur wären hierfür natür</w:t>
      </w:r>
      <w:r>
        <w:softHyphen/>
        <w:t>lich auch Drucke mit den Darstellungen der Bauten dienlich, wie sie insbesondere Stradas Zeitgenosse, der mit den römi</w:t>
      </w:r>
      <w:r>
        <w:softHyphen/>
        <w:t xml:space="preserve">schen Akademikern </w:t>
      </w:r>
      <w:r w:rsidR="003A7AD6">
        <w:t xml:space="preserve">befreundete </w:t>
      </w:r>
      <w:r>
        <w:t xml:space="preserve">Verleger Antonio Lafreri (frz. Antoine Lafréry) in großer Zahl publizierte.[36] Diese zeigten </w:t>
      </w:r>
      <w:r w:rsidR="003A7AD6">
        <w:t xml:space="preserve">aber häufig </w:t>
      </w:r>
      <w:r>
        <w:t xml:space="preserve">nur die Ruinen, in vielen Fällen auch Rekonstruktionen, </w:t>
      </w:r>
      <w:r w:rsidR="003A7AD6">
        <w:t xml:space="preserve">beschränkten sich aber i.d.R. </w:t>
      </w:r>
      <w:r>
        <w:t>auf jene</w:t>
      </w:r>
      <w:r w:rsidR="003A7AD6">
        <w:t xml:space="preserve"> Bauten</w:t>
      </w:r>
      <w:r>
        <w:t>, die überhaupt noch in Resten sichtbar waren. Für einige der oben genannten Bauten wie das Tra</w:t>
      </w:r>
      <w:r>
        <w:softHyphen/>
        <w:t>jans</w:t>
      </w:r>
      <w:r w:rsidR="003A7AD6">
        <w:t>-F</w:t>
      </w:r>
      <w:r>
        <w:t>orum, die Tempel der Concordia und des Ianus u.a.m. standen aber – zumindest bis zum Beginn (bzw. der Wie</w:t>
      </w:r>
      <w:r>
        <w:softHyphen/>
        <w:t>deraufnahme) archäologischer Ausgrabungskampagnen im 19. Jahrhundert – gar nicht genügend Informationen zur Verfügung.</w:t>
      </w:r>
    </w:p>
    <w:p w:rsidR="00307781" w:rsidRDefault="00743576">
      <w:pPr>
        <w:pStyle w:val="noindent"/>
        <w:spacing w:line="276" w:lineRule="auto"/>
        <w:ind w:firstLine="284"/>
      </w:pPr>
      <w:r>
        <w:t>Hier zeigt sich die Bedeutung der Einbeziehung weiterer antiker Quellen wie Münzen und Medaillen und deren Ver-knüpfung mit anderen Objekten z</w:t>
      </w:r>
      <w:r w:rsidR="00E963D3">
        <w:t>wechs Erkenntnisgewinn</w:t>
      </w:r>
      <w:r>
        <w:t>,</w:t>
      </w:r>
      <w:r w:rsidR="00E963D3">
        <w:t xml:space="preserve"> wie es Strada praktizierte:</w:t>
      </w:r>
      <w:r>
        <w:t xml:space="preserve"> </w:t>
      </w:r>
      <w:r w:rsidR="00E963D3">
        <w:t>D</w:t>
      </w:r>
      <w:r>
        <w:t xml:space="preserve">enn erst durch diese Verknüpfung einzelner Informationen entsteht neues Wissen. Es wäre darum wünschenswert, vielleicht einmal die Münzen, die Zeichnungen und die Erläuterungen Stradas </w:t>
      </w:r>
      <w:r w:rsidR="00E963D3">
        <w:t>aus seiner</w:t>
      </w:r>
      <w:r>
        <w:t xml:space="preserve"> sog. </w:t>
      </w:r>
      <w:r>
        <w:rPr>
          <w:rStyle w:val="pplri8t-1"/>
        </w:rPr>
        <w:t xml:space="preserve">Diaskeué </w:t>
      </w:r>
      <w:r>
        <w:t xml:space="preserve">(den beiden in Wien und Prag erhaltenen </w:t>
      </w:r>
      <w:r w:rsidR="00E963D3">
        <w:t>elf</w:t>
      </w:r>
      <w:r>
        <w:t>bändigen Beschreibungen mit Kom</w:t>
      </w:r>
      <w:r>
        <w:softHyphen/>
        <w:t>mentaren zu vielen der Münzen) in einer Ausstellung zu</w:t>
      </w:r>
      <w:r>
        <w:softHyphen/>
        <w:t>sammen zu führen und damit das enorme Wissen zu würdi</w:t>
      </w:r>
      <w:r>
        <w:softHyphen/>
        <w:t>gen, welches Strada und seine Akademikerkollegen in Rom um 1550 akribisch zusammen trugen, sorgfältig dokumen</w:t>
      </w:r>
      <w:r>
        <w:softHyphen/>
        <w:t xml:space="preserve">tierten und auf bemerkenswerte Weise interpretierten. Dass ihnen dabei Irrtümer unterliefen, </w:t>
      </w:r>
      <w:r>
        <w:lastRenderedPageBreak/>
        <w:t>ist angesichts ihrer Pionier</w:t>
      </w:r>
      <w:r>
        <w:softHyphen/>
        <w:t>rolle nur zu gut zu verstehen. Dass sie damit aber die Grundlage für das wissenschaftliche Arbeiten in verschiede</w:t>
      </w:r>
      <w:r>
        <w:softHyphen/>
        <w:t xml:space="preserve">nen Disziplinen legten, ja, dass sie diese vielleicht sogar im eigentlichen Sinne erst schufen, als sie die immense Arbeit, </w:t>
      </w:r>
      <w:r>
        <w:rPr>
          <w:rStyle w:val="pplri8t-1"/>
        </w:rPr>
        <w:t>alles</w:t>
      </w:r>
      <w:r>
        <w:t xml:space="preserve"> dokumentieren zu wollen, unter sich aufteilten, ist da</w:t>
      </w:r>
      <w:r>
        <w:softHyphen/>
        <w:t>gegen kaum bekannt</w:t>
      </w:r>
      <w:r w:rsidR="009F4BF0">
        <w:t>. Die Akademiker um Strada und ihre Arbeitsergebnisse verdienen daher eine</w:t>
      </w:r>
      <w:r>
        <w:t xml:space="preserve"> weit größere Beach</w:t>
      </w:r>
      <w:r>
        <w:softHyphen/>
        <w:t xml:space="preserve">tung und Würdigung, als </w:t>
      </w:r>
      <w:r w:rsidR="009F4BF0">
        <w:t>sie bisher erfuhren</w:t>
      </w:r>
      <w:r>
        <w:t xml:space="preserve">. </w:t>
      </w:r>
    </w:p>
    <w:p w:rsidR="00307781" w:rsidRDefault="00307781">
      <w:pPr>
        <w:pStyle w:val="noindent"/>
        <w:spacing w:line="276" w:lineRule="auto"/>
        <w:ind w:firstLine="284"/>
      </w:pPr>
    </w:p>
    <w:p w:rsidR="00307781" w:rsidRDefault="00743576">
      <w:pPr>
        <w:pStyle w:val="noindent"/>
        <w:spacing w:line="276" w:lineRule="auto"/>
        <w:rPr>
          <w:b/>
        </w:rPr>
      </w:pPr>
      <w:r>
        <w:rPr>
          <w:b/>
        </w:rPr>
        <w:t>5. Ausblick</w:t>
      </w:r>
    </w:p>
    <w:p w:rsidR="00307781" w:rsidRDefault="00307781">
      <w:pPr>
        <w:pStyle w:val="noindent"/>
        <w:spacing w:line="276" w:lineRule="auto"/>
      </w:pPr>
    </w:p>
    <w:p w:rsidR="00307781" w:rsidRDefault="00743576">
      <w:pPr>
        <w:pStyle w:val="noindent"/>
        <w:spacing w:line="276" w:lineRule="auto"/>
      </w:pPr>
      <w:r>
        <w:t>Im bisher Gesagten sollte deutlich geworden sein, dass zu</w:t>
      </w:r>
      <w:r>
        <w:softHyphen/>
        <w:t xml:space="preserve">mindest ein nicht geringer Teil der </w:t>
      </w:r>
      <w:r w:rsidR="009F4BF0">
        <w:t xml:space="preserve">Gothaer </w:t>
      </w:r>
      <w:r>
        <w:t>Münzzeichnungen aus der Werkstatt Jacopo Stradas eine weitaus genaue</w:t>
      </w:r>
      <w:r>
        <w:softHyphen/>
        <w:t xml:space="preserve">re Betrachtung verdienen, als ihnen bisher zuteil wurde. Das von der Deutschen Forschungsgemeinschaft geförderte und von Dirk Jansen und Volker Heenes durchgeführte, noch bis 2021 laufende Projekt zum </w:t>
      </w:r>
      <w:r>
        <w:rPr>
          <w:rStyle w:val="pplri8t-1"/>
        </w:rPr>
        <w:t xml:space="preserve">Magnum ac Novum Opus </w:t>
      </w:r>
      <w:r>
        <w:t xml:space="preserve">kann dabei nur als </w:t>
      </w:r>
      <w:r w:rsidR="009F4BF0">
        <w:t xml:space="preserve">Vorbereitung und </w:t>
      </w:r>
      <w:r>
        <w:t xml:space="preserve">Einstieg in weiterführende Forschungen angesehen werden, denn selbst eine vollständige Katalogisierung samt Nachweis der dargestellten Münzen (inklusive der verlorenen gegangenen oder gefälschten Exemplare) ist allein angesichts des zahlenmäßigen Umfangs dieses Teils der noch weit umfangreicheren Sammlungen Stradas </w:t>
      </w:r>
      <w:r w:rsidR="00B17D8C">
        <w:t xml:space="preserve">in wenigen </w:t>
      </w:r>
      <w:r>
        <w:t xml:space="preserve">Jahren nicht zu leisten. </w:t>
      </w:r>
    </w:p>
    <w:p w:rsidR="00307781" w:rsidRDefault="00743576">
      <w:pPr>
        <w:pStyle w:val="noindent"/>
        <w:spacing w:line="276" w:lineRule="auto"/>
        <w:ind w:firstLine="284"/>
      </w:pPr>
      <w:r>
        <w:t>D</w:t>
      </w:r>
      <w:r w:rsidR="004E038C">
        <w:t>aher sollte hier skizziert werden</w:t>
      </w:r>
      <w:r>
        <w:t xml:space="preserve">, was neben den hier nicht vollständig behandelten Darstellungen antiker Architektur noch in Bezug auf viele andere Gegenstandsbereiche antiker Kultur anhand der Münzzeichnungen oder ausgehend von diesen zu untersuchen wäre. Es konnte hoffentlich </w:t>
      </w:r>
      <w:r w:rsidR="00623054">
        <w:t>aufgezeigt</w:t>
      </w:r>
      <w:r>
        <w:t xml:space="preserve"> werden, dass die Darstellungen Stradas </w:t>
      </w:r>
      <w:r w:rsidR="00623054">
        <w:t>–</w:t>
      </w:r>
      <w:r>
        <w:t xml:space="preserve"> entgegen der vorherrschenden, </w:t>
      </w:r>
      <w:r w:rsidR="00623054">
        <w:t xml:space="preserve">eher </w:t>
      </w:r>
      <w:r>
        <w:t xml:space="preserve">abwertenden Meinung über ihre </w:t>
      </w:r>
      <w:r w:rsidR="00623054">
        <w:t>»</w:t>
      </w:r>
      <w:r>
        <w:t>allzu fantasievollen</w:t>
      </w:r>
      <w:r w:rsidR="00623054">
        <w:t>«</w:t>
      </w:r>
      <w:r>
        <w:t xml:space="preserve"> Erweiterungen und Ergänzungen der </w:t>
      </w:r>
      <w:r>
        <w:lastRenderedPageBreak/>
        <w:t xml:space="preserve">tatsächlich </w:t>
      </w:r>
      <w:r w:rsidR="00623054">
        <w:t xml:space="preserve">(nur) </w:t>
      </w:r>
      <w:r>
        <w:t xml:space="preserve">den Münzen selbst zu entnehmenden Informationen </w:t>
      </w:r>
      <w:r w:rsidR="00623054">
        <w:t xml:space="preserve">– </w:t>
      </w:r>
      <w:r>
        <w:t>einer eingehenden Betrach</w:t>
      </w:r>
      <w:r>
        <w:softHyphen/>
        <w:t>tung wert sind, da sie offenkundig damaliges, erstmals müh</w:t>
      </w:r>
      <w:r>
        <w:softHyphen/>
        <w:t>sam erarbeitetes Wissen zusammen führen, welches nur im Rahmen der interdisziplinären wissenschaftlichen Koopera</w:t>
      </w:r>
      <w:r>
        <w:softHyphen/>
        <w:t xml:space="preserve">tion im Umkreis Stradas erarbeitet werden konnte. </w:t>
      </w:r>
    </w:p>
    <w:p w:rsidR="00307781" w:rsidRDefault="00743576">
      <w:pPr>
        <w:pStyle w:val="noindent"/>
        <w:spacing w:line="276" w:lineRule="auto"/>
        <w:ind w:firstLine="284"/>
      </w:pPr>
      <w:r>
        <w:t>Diese ist nicht nur bedeutend als das (vermutlich) erste Beispiel ihrer Art, sondern auch als das hinsichtlich seiner Ergebnisse und Folgen zugleich wohl erfolgreichste</w:t>
      </w:r>
      <w:r w:rsidR="00623054">
        <w:t>:</w:t>
      </w:r>
      <w:r>
        <w:t xml:space="preserve"> In der-selben Weise, in der die genauere Untersuchung der Archi-tekturdarstellungen unser Wissen über die antike Architek</w:t>
      </w:r>
      <w:r>
        <w:softHyphen/>
        <w:t>tur Roms selbst – erstaunlicherweise immer noch! – ebenso zu erweitern vermag wie unser Wissen über ihre Rezeption in der Renaissance durch die überaus produktiven Bemü</w:t>
      </w:r>
      <w:r>
        <w:softHyphen/>
        <w:t xml:space="preserve">hungen der zumeist etwas abschätzig als </w:t>
      </w:r>
      <w:r w:rsidR="008E5D62">
        <w:t>»</w:t>
      </w:r>
      <w:r>
        <w:t>Antiquare</w:t>
      </w:r>
      <w:r w:rsidR="008E5D62">
        <w:t>«</w:t>
      </w:r>
      <w:r>
        <w:t xml:space="preserve"> be</w:t>
      </w:r>
      <w:r>
        <w:softHyphen/>
        <w:t>zeichneten Wissenschaftler, die m.E. die Archäologie als eine wissen-schaftliche Disziplin betrieben, indem sie Me</w:t>
      </w:r>
      <w:r>
        <w:softHyphen/>
        <w:t>thoden entwickelten und Maßstäbe setzten, in eben dersel</w:t>
      </w:r>
      <w:r>
        <w:softHyphen/>
        <w:t>ben Weise dürften auch andere Münzdarstellungen Stradas noch bedeu-tende Informationen bereit halten, die oft über</w:t>
      </w:r>
      <w:r>
        <w:softHyphen/>
        <w:t xml:space="preserve">haupt erst im – damals quasi erfundenen und praktizierten – interdisziplinären Abgleich mit anderen Artefakten sowie antiken Texten, also in der Kontextualisierung, erkennbar werden können. </w:t>
      </w:r>
    </w:p>
    <w:p w:rsidR="00307781" w:rsidRDefault="00743576">
      <w:pPr>
        <w:pStyle w:val="noindent"/>
        <w:spacing w:line="276" w:lineRule="auto"/>
        <w:ind w:firstLine="284"/>
      </w:pPr>
      <w:r>
        <w:t>Insofern ist nicht nur die weitere Aufarbeitung, tieferge</w:t>
      </w:r>
      <w:r>
        <w:softHyphen/>
        <w:t xml:space="preserve">hende Erschließung und eben Kontextualisierung der Go-thaer Münzzeichnungen ein Desiderat und eine bleibende Forschungsaufgabe, sondern ebenso die aller anderen </w:t>
      </w:r>
      <w:r w:rsidR="008E5D62">
        <w:t xml:space="preserve">Arbeitsergebnisse </w:t>
      </w:r>
      <w:r>
        <w:t xml:space="preserve">jener Akademie – der </w:t>
      </w:r>
      <w:r>
        <w:rPr>
          <w:rStyle w:val="pplri8t-1"/>
        </w:rPr>
        <w:t>Accademia de lo Studio</w:t>
      </w:r>
      <w:r>
        <w:t xml:space="preserve"> </w:t>
      </w:r>
      <w:r>
        <w:rPr>
          <w:rStyle w:val="pplri8t-1"/>
        </w:rPr>
        <w:t>de l’Architettura –</w:t>
      </w:r>
      <w:r>
        <w:t xml:space="preserve">, deren Mitglied Strada zumindest zeitweilig war. Ihre vielfältigen und umfangreichen </w:t>
      </w:r>
      <w:r w:rsidR="008E5D62">
        <w:t xml:space="preserve">Leistungen </w:t>
      </w:r>
      <w:r>
        <w:t xml:space="preserve">dürften noch eine Vielzahl weiterer </w:t>
      </w:r>
      <w:r w:rsidR="008E5D62">
        <w:t>»</w:t>
      </w:r>
      <w:r>
        <w:t>ungehobe</w:t>
      </w:r>
      <w:r>
        <w:softHyphen/>
        <w:t>ner Schätze</w:t>
      </w:r>
      <w:r w:rsidR="008E5D62">
        <w:t>«</w:t>
      </w:r>
      <w:r>
        <w:t xml:space="preserve"> bereit halten. Diese betreffen natürlich nicht nur die antiken Bauten bzw. ihre Ruinen selbst, sondern auch die in Tolomeis </w:t>
      </w:r>
      <w:r>
        <w:lastRenderedPageBreak/>
        <w:t xml:space="preserve">Beschreibung des Publikationsprojekts genannten Artefakte wie Bauornamentik, Vasen, Reliefs und Skulpturen, Inschriften, </w:t>
      </w:r>
      <w:r w:rsidR="00067774">
        <w:t xml:space="preserve">Malereine, </w:t>
      </w:r>
      <w:r>
        <w:t>Werkzeuge</w:t>
      </w:r>
      <w:r w:rsidR="00067774">
        <w:t xml:space="preserve">, </w:t>
      </w:r>
      <w:r>
        <w:t>Maschinen</w:t>
      </w:r>
      <w:r w:rsidR="00067774">
        <w:t xml:space="preserve"> oder Aquädukte.</w:t>
      </w:r>
      <w:r>
        <w:t xml:space="preserve"> </w:t>
      </w:r>
    </w:p>
    <w:p w:rsidR="00307781" w:rsidRDefault="00743576">
      <w:pPr>
        <w:pStyle w:val="noindent"/>
        <w:spacing w:line="276" w:lineRule="auto"/>
        <w:ind w:firstLine="284"/>
      </w:pPr>
      <w:r>
        <w:t xml:space="preserve">Die rund 100 Publikationen aus dem Umkreis der </w:t>
      </w:r>
      <w:r w:rsidR="00054F8B">
        <w:rPr>
          <w:i/>
        </w:rPr>
        <w:t>Accademia</w:t>
      </w:r>
      <w:r>
        <w:t xml:space="preserve"> weisen aber auch darüber hinaus, indem sie das kul</w:t>
      </w:r>
      <w:r>
        <w:softHyphen/>
        <w:t xml:space="preserve">turelle Umfeld  all dieser antiken Artefakte zu ergründen versuchen: von Mythen und Religionspraxis über politische und familiäre Beziehungen, Prosopographie und Rechtsge-schichte bis zu den aus rituellen Kontexten entstandenen Spielen und Bräuchen. Von diesen Büchern sind erst wenige so ausgewertet worden, wie sie es verdienten. Und in vielen Fällen muss man sogar sagen, dass sie ungerechtigfertigter-weise in Vergessenheit gerieten – wie Stradas Zeichnungen. </w:t>
      </w:r>
    </w:p>
    <w:p w:rsidR="00307781" w:rsidRDefault="00743576">
      <w:pPr>
        <w:pStyle w:val="noindent"/>
        <w:spacing w:line="276" w:lineRule="auto"/>
        <w:ind w:firstLine="284"/>
      </w:pPr>
      <w:r>
        <w:t>Es bleibt also zu hoffen, dass die laufende wissenschaft-liche Erschließung der Münzzeichnungen aus Stradas Werk-statt, zu der hier eine kleine Ergänzung präsentiert wurde, nicht nur das verbreitete Fehlurteil Mandowskys und Mit</w:t>
      </w:r>
      <w:r>
        <w:softHyphen/>
        <w:t>chells korrigiert, sondern auch die wissenschaftshistorische Bedeutung und Notwendigkeit dieser Korrektur belegt. Stra</w:t>
      </w:r>
      <w:r>
        <w:softHyphen/>
        <w:t xml:space="preserve">da und seine Freunde und Kollegen in der römischen </w:t>
      </w:r>
      <w:r w:rsidR="00DF5D07">
        <w:rPr>
          <w:i/>
        </w:rPr>
        <w:t>Accademia</w:t>
      </w:r>
      <w:r>
        <w:t xml:space="preserve"> und ihrem (West-)Europa umspannenden Netzwerk verdienen aufgrund ihres </w:t>
      </w:r>
      <w:r w:rsidR="00DF5D07">
        <w:t xml:space="preserve">immensen </w:t>
      </w:r>
      <w:r>
        <w:t>Fleißes eine positive(re) Neubewertung</w:t>
      </w:r>
      <w:r w:rsidR="00DF5D07">
        <w:t>. Die von ihnen erstellten</w:t>
      </w:r>
      <w:r>
        <w:t xml:space="preserve"> Materialien und dokumentierten Objekte </w:t>
      </w:r>
      <w:r w:rsidR="00DF5D07">
        <w:t>warten auf ihre</w:t>
      </w:r>
      <w:r>
        <w:t xml:space="preserve"> (Wieder-)Einführung in die Forschung, die – nach ihrem Vorbild – nur in internatio</w:t>
      </w:r>
      <w:r>
        <w:softHyphen/>
        <w:t xml:space="preserve">naler und interdisziplinärer Kooperation jene </w:t>
      </w:r>
      <w:r w:rsidR="00DF5D07">
        <w:t>»</w:t>
      </w:r>
      <w:r>
        <w:t>Wissens</w:t>
      </w:r>
      <w:r>
        <w:softHyphen/>
        <w:t>schätze</w:t>
      </w:r>
      <w:r w:rsidR="00DF5D07">
        <w:t>«</w:t>
      </w:r>
      <w:r>
        <w:t xml:space="preserve"> zu heben und unser Wissen über die römische Anti</w:t>
      </w:r>
      <w:r>
        <w:softHyphen/>
        <w:t>ke und ihren prägenden Einfluss auf unsere Kultur erheblich zu erweitern vermag. Insofern versteht sich diese Arbeit auch als ein Plädoyer für die Fortführung nicht nur der Fors</w:t>
      </w:r>
      <w:bookmarkStart w:id="0" w:name="_GoBack"/>
      <w:bookmarkEnd w:id="0"/>
      <w:r>
        <w:t>chungen zu Strada in Gotha, sondern für ihre Erweiterung auf all jene bisher kaum erschlossenen, riesigen Material</w:t>
      </w:r>
      <w:r>
        <w:softHyphen/>
        <w:t xml:space="preserve">mengen, die Strada und die Akademiker hinterlassen haben. </w:t>
      </w:r>
    </w:p>
    <w:p w:rsidR="00307781" w:rsidRDefault="00743576">
      <w:pPr>
        <w:pStyle w:val="bibitem"/>
        <w:spacing w:line="276" w:lineRule="auto"/>
        <w:ind w:left="0" w:firstLine="0"/>
      </w:pPr>
      <w:r>
        <w:rPr>
          <w:rStyle w:val="biblabel"/>
          <w:b/>
          <w:sz w:val="18"/>
          <w:szCs w:val="18"/>
        </w:rPr>
        <w:lastRenderedPageBreak/>
        <w:t>Anmerkungen</w:t>
      </w:r>
    </w:p>
    <w:p w:rsidR="00307781" w:rsidRDefault="00743576">
      <w:pPr>
        <w:spacing w:before="0" w:after="0" w:line="276" w:lineRule="auto"/>
        <w:ind w:left="284" w:hanging="284"/>
        <w:rPr>
          <w:sz w:val="18"/>
          <w:szCs w:val="18"/>
        </w:rPr>
      </w:pPr>
      <w:r>
        <w:rPr>
          <w:sz w:val="18"/>
          <w:szCs w:val="18"/>
        </w:rPr>
        <w:t>1. Jansen 2015, in überarb. Form publ. als Jansen 2019.</w:t>
      </w:r>
    </w:p>
    <w:p w:rsidR="00307781" w:rsidRDefault="00743576">
      <w:pPr>
        <w:spacing w:before="0" w:after="0" w:line="276" w:lineRule="auto"/>
        <w:ind w:left="284" w:hanging="284"/>
        <w:rPr>
          <w:sz w:val="18"/>
          <w:szCs w:val="18"/>
        </w:rPr>
      </w:pPr>
      <w:r>
        <w:rPr>
          <w:rFonts w:eastAsia="Times New Roman"/>
          <w:sz w:val="18"/>
          <w:szCs w:val="18"/>
        </w:rPr>
        <w:t xml:space="preserve">2. </w:t>
      </w:r>
      <w:r>
        <w:rPr>
          <w:sz w:val="18"/>
          <w:szCs w:val="18"/>
        </w:rPr>
        <w:t>U.a. Strada 1553, Panvinio/Strada 1557.1/2 und Caesar/-Strada 1575 sowie Serlio/Strada 1575.</w:t>
      </w:r>
    </w:p>
    <w:p w:rsidR="00307781" w:rsidRDefault="00743576">
      <w:pPr>
        <w:spacing w:before="0" w:after="0" w:line="276" w:lineRule="auto"/>
        <w:ind w:left="284" w:hanging="284"/>
        <w:rPr>
          <w:sz w:val="18"/>
          <w:szCs w:val="18"/>
        </w:rPr>
      </w:pPr>
      <w:r>
        <w:rPr>
          <w:rFonts w:eastAsia="Times New Roman"/>
          <w:sz w:val="18"/>
          <w:szCs w:val="18"/>
        </w:rPr>
        <w:t xml:space="preserve">3. </w:t>
      </w:r>
      <w:r>
        <w:rPr>
          <w:sz w:val="18"/>
          <w:szCs w:val="18"/>
        </w:rPr>
        <w:t>Bspw. Du Choul 1556, S. 21 und 41.</w:t>
      </w:r>
    </w:p>
    <w:p w:rsidR="00307781" w:rsidRDefault="00743576">
      <w:pPr>
        <w:spacing w:before="0" w:after="0" w:line="276" w:lineRule="auto"/>
        <w:ind w:left="284" w:hanging="284"/>
        <w:rPr>
          <w:rFonts w:eastAsia="Times New Roman"/>
          <w:sz w:val="18"/>
          <w:szCs w:val="18"/>
        </w:rPr>
      </w:pPr>
      <w:r>
        <w:rPr>
          <w:rFonts w:eastAsia="Times New Roman"/>
          <w:sz w:val="18"/>
          <w:szCs w:val="18"/>
        </w:rPr>
        <w:t>4. Strada 1553.</w:t>
      </w:r>
    </w:p>
    <w:p w:rsidR="00307781" w:rsidRDefault="00743576">
      <w:pPr>
        <w:spacing w:before="0" w:after="0" w:line="276" w:lineRule="auto"/>
        <w:ind w:left="284" w:hanging="284"/>
        <w:rPr>
          <w:rFonts w:eastAsia="Times New Roman"/>
          <w:i/>
          <w:sz w:val="18"/>
          <w:szCs w:val="18"/>
        </w:rPr>
      </w:pPr>
      <w:r>
        <w:rPr>
          <w:rFonts w:eastAsia="Times New Roman"/>
          <w:sz w:val="18"/>
          <w:szCs w:val="18"/>
        </w:rPr>
        <w:t xml:space="preserve">5. Tolomei 1547, fol. 81 </w:t>
      </w:r>
      <w:r>
        <w:rPr>
          <w:rFonts w:eastAsia="Times New Roman"/>
          <w:i/>
          <w:sz w:val="18"/>
          <w:szCs w:val="18"/>
        </w:rPr>
        <w:t xml:space="preserve">recto </w:t>
      </w:r>
      <w:r>
        <w:rPr>
          <w:rFonts w:eastAsia="Times New Roman"/>
          <w:sz w:val="18"/>
          <w:szCs w:val="18"/>
        </w:rPr>
        <w:t xml:space="preserve">– 85 </w:t>
      </w:r>
      <w:r>
        <w:rPr>
          <w:rFonts w:eastAsia="Times New Roman"/>
          <w:i/>
          <w:sz w:val="18"/>
          <w:szCs w:val="18"/>
        </w:rPr>
        <w:t>recto.</w:t>
      </w:r>
    </w:p>
    <w:p w:rsidR="00307781" w:rsidRDefault="00743576">
      <w:pPr>
        <w:spacing w:before="0" w:after="0" w:line="276" w:lineRule="auto"/>
        <w:ind w:left="284" w:hanging="284"/>
      </w:pPr>
      <w:r>
        <w:rPr>
          <w:rFonts w:eastAsia="Times New Roman"/>
          <w:sz w:val="18"/>
          <w:szCs w:val="18"/>
        </w:rPr>
        <w:t>6. Einen ersten Überblick des Programms gab Margaret Daly Davis bereits 1994; für eine ausführlichere Diskussion und Er</w:t>
      </w:r>
      <w:r>
        <w:rPr>
          <w:rFonts w:eastAsia="Times New Roman"/>
          <w:sz w:val="18"/>
          <w:szCs w:val="18"/>
        </w:rPr>
        <w:softHyphen/>
        <w:t>gänzungen s. Kulawik 2018.2</w:t>
      </w:r>
      <w:r>
        <w:t>.</w:t>
      </w:r>
    </w:p>
    <w:p w:rsidR="00307781" w:rsidRDefault="00743576">
      <w:pPr>
        <w:spacing w:before="0" w:after="0" w:line="276" w:lineRule="auto"/>
        <w:ind w:left="284" w:hanging="284"/>
        <w:rPr>
          <w:rFonts w:eastAsia="Times New Roman"/>
          <w:sz w:val="18"/>
          <w:szCs w:val="18"/>
        </w:rPr>
      </w:pPr>
      <w:r>
        <w:rPr>
          <w:rFonts w:eastAsia="Times New Roman"/>
          <w:sz w:val="18"/>
          <w:szCs w:val="18"/>
        </w:rPr>
        <w:t xml:space="preserve">7. Tolomei 1547, fol. 84 </w:t>
      </w:r>
      <w:r>
        <w:rPr>
          <w:rFonts w:eastAsia="Times New Roman"/>
          <w:i/>
          <w:sz w:val="18"/>
          <w:szCs w:val="18"/>
        </w:rPr>
        <w:t>verso</w:t>
      </w:r>
      <w:r>
        <w:rPr>
          <w:rFonts w:eastAsia="Times New Roman"/>
          <w:sz w:val="18"/>
          <w:szCs w:val="18"/>
        </w:rPr>
        <w:t>. – Zu den wenigen über einzelne Sätze hinaus gehenden Beispielen für die Auseinandersetzung der bisherigen Forschung mit Tolomeis Programm vgl. Kula</w:t>
      </w:r>
      <w:r>
        <w:rPr>
          <w:rFonts w:eastAsia="Times New Roman"/>
          <w:sz w:val="18"/>
          <w:szCs w:val="18"/>
        </w:rPr>
        <w:softHyphen/>
        <w:t>wik 2019.</w:t>
      </w:r>
    </w:p>
    <w:p w:rsidR="00307781" w:rsidRDefault="00743576">
      <w:pPr>
        <w:spacing w:before="0" w:after="0" w:line="276" w:lineRule="auto"/>
        <w:ind w:left="284" w:hanging="284"/>
        <w:rPr>
          <w:rFonts w:eastAsia="Times New Roman"/>
          <w:i/>
          <w:sz w:val="18"/>
          <w:szCs w:val="18"/>
        </w:rPr>
      </w:pPr>
      <w:r>
        <w:rPr>
          <w:rFonts w:eastAsia="Times New Roman"/>
          <w:sz w:val="18"/>
          <w:szCs w:val="18"/>
        </w:rPr>
        <w:t xml:space="preserve">8. Atanagi 1565, fol. Ll2 </w:t>
      </w:r>
      <w:r>
        <w:rPr>
          <w:rFonts w:eastAsia="Times New Roman"/>
          <w:i/>
          <w:sz w:val="18"/>
          <w:szCs w:val="18"/>
        </w:rPr>
        <w:t>verso</w:t>
      </w:r>
      <w:r>
        <w:rPr>
          <w:rFonts w:eastAsia="Times New Roman"/>
          <w:sz w:val="18"/>
          <w:szCs w:val="18"/>
        </w:rPr>
        <w:t xml:space="preserve">–Ll3 </w:t>
      </w:r>
      <w:r>
        <w:rPr>
          <w:rFonts w:eastAsia="Times New Roman"/>
          <w:i/>
          <w:sz w:val="18"/>
          <w:szCs w:val="18"/>
        </w:rPr>
        <w:t>recto.</w:t>
      </w:r>
    </w:p>
    <w:p w:rsidR="00307781" w:rsidRDefault="00743576">
      <w:pPr>
        <w:spacing w:before="0" w:after="0" w:line="276" w:lineRule="auto"/>
        <w:ind w:left="284" w:hanging="284"/>
        <w:rPr>
          <w:rFonts w:eastAsia="Times New Roman"/>
          <w:sz w:val="18"/>
          <w:szCs w:val="18"/>
        </w:rPr>
      </w:pPr>
      <w:r>
        <w:rPr>
          <w:rFonts w:eastAsia="Times New Roman"/>
          <w:sz w:val="18"/>
          <w:szCs w:val="18"/>
        </w:rPr>
        <w:t>9. Zu Jean Matal vgl. Heuser 2003.</w:t>
      </w:r>
    </w:p>
    <w:p w:rsidR="00307781" w:rsidRDefault="00743576">
      <w:pPr>
        <w:spacing w:before="0" w:after="0" w:line="276" w:lineRule="auto"/>
        <w:ind w:left="284" w:hanging="284"/>
        <w:rPr>
          <w:rFonts w:eastAsia="Times New Roman"/>
          <w:sz w:val="18"/>
          <w:szCs w:val="18"/>
        </w:rPr>
      </w:pPr>
      <w:r>
        <w:rPr>
          <w:rFonts w:eastAsia="Times New Roman"/>
          <w:sz w:val="18"/>
          <w:szCs w:val="18"/>
        </w:rPr>
        <w:t xml:space="preserve">10. Vgl. Pighius 1568. </w:t>
      </w:r>
    </w:p>
    <w:p w:rsidR="00307781" w:rsidRDefault="00743576">
      <w:pPr>
        <w:spacing w:before="0" w:after="0" w:line="276" w:lineRule="auto"/>
        <w:ind w:left="284" w:hanging="284"/>
        <w:rPr>
          <w:rFonts w:eastAsia="Times New Roman"/>
          <w:sz w:val="18"/>
          <w:szCs w:val="18"/>
        </w:rPr>
      </w:pPr>
      <w:r>
        <w:rPr>
          <w:rFonts w:eastAsia="Times New Roman"/>
          <w:sz w:val="18"/>
          <w:szCs w:val="18"/>
        </w:rPr>
        <w:t>11. Freundlicher Hinweis von Henning Wrede.</w:t>
      </w:r>
    </w:p>
    <w:p w:rsidR="00307781" w:rsidRDefault="00743576">
      <w:pPr>
        <w:spacing w:before="0" w:after="0" w:line="276" w:lineRule="auto"/>
        <w:ind w:left="284" w:hanging="284"/>
        <w:rPr>
          <w:rFonts w:eastAsia="Times New Roman"/>
          <w:sz w:val="18"/>
          <w:szCs w:val="18"/>
        </w:rPr>
      </w:pPr>
      <w:r>
        <w:rPr>
          <w:rFonts w:eastAsia="Times New Roman"/>
          <w:sz w:val="18"/>
          <w:szCs w:val="18"/>
        </w:rPr>
        <w:t>12. Wrede 1993.</w:t>
      </w:r>
    </w:p>
    <w:p w:rsidR="00307781" w:rsidRDefault="00743576">
      <w:pPr>
        <w:spacing w:before="0" w:after="0" w:line="276" w:lineRule="auto"/>
        <w:ind w:left="284" w:hanging="284"/>
        <w:rPr>
          <w:rFonts w:eastAsia="Times New Roman"/>
          <w:sz w:val="18"/>
          <w:szCs w:val="18"/>
        </w:rPr>
      </w:pPr>
      <w:r>
        <w:rPr>
          <w:rFonts w:eastAsia="Times New Roman"/>
          <w:sz w:val="18"/>
          <w:szCs w:val="18"/>
        </w:rPr>
        <w:t xml:space="preserve">13. Garimberto 1544, fol. I </w:t>
      </w:r>
      <w:r>
        <w:rPr>
          <w:rFonts w:eastAsia="Times New Roman"/>
          <w:i/>
          <w:sz w:val="18"/>
          <w:szCs w:val="18"/>
        </w:rPr>
        <w:t xml:space="preserve">recto </w:t>
      </w:r>
      <w:r>
        <w:rPr>
          <w:rFonts w:eastAsia="Times New Roman"/>
          <w:sz w:val="18"/>
          <w:szCs w:val="18"/>
        </w:rPr>
        <w:t xml:space="preserve">– III </w:t>
      </w:r>
      <w:r>
        <w:rPr>
          <w:rFonts w:eastAsia="Times New Roman"/>
          <w:i/>
          <w:sz w:val="18"/>
          <w:szCs w:val="18"/>
        </w:rPr>
        <w:t>verso</w:t>
      </w:r>
      <w:r>
        <w:rPr>
          <w:rFonts w:eastAsia="Times New Roman"/>
          <w:sz w:val="18"/>
          <w:szCs w:val="18"/>
        </w:rPr>
        <w:t>.</w:t>
      </w:r>
    </w:p>
    <w:p w:rsidR="00307781" w:rsidRDefault="00743576">
      <w:pPr>
        <w:spacing w:before="0" w:after="0" w:line="276" w:lineRule="auto"/>
        <w:ind w:left="284" w:hanging="284"/>
        <w:rPr>
          <w:sz w:val="18"/>
          <w:szCs w:val="18"/>
        </w:rPr>
      </w:pPr>
      <w:r>
        <w:rPr>
          <w:rFonts w:eastAsia="Times New Roman"/>
          <w:sz w:val="18"/>
          <w:szCs w:val="18"/>
        </w:rPr>
        <w:t>14.</w:t>
      </w:r>
      <w:r>
        <w:rPr>
          <w:sz w:val="18"/>
          <w:szCs w:val="18"/>
        </w:rPr>
        <w:t xml:space="preserve"> Panvinio/Strada 1557.1, (ungezählte) 3. Seite der Widmung an den zukünftigen Kaiser Ferdinand. Einige der Teilnehmer, dar</w:t>
      </w:r>
      <w:r>
        <w:rPr>
          <w:sz w:val="18"/>
          <w:szCs w:val="18"/>
        </w:rPr>
        <w:softHyphen/>
        <w:t>unter Antonio Agustín, nennt er namentlich in Panvinio/Strada 1557.2 ungezählte 2. Seite der Dedikation.</w:t>
      </w:r>
    </w:p>
    <w:p w:rsidR="00307781" w:rsidRDefault="00743576">
      <w:pPr>
        <w:spacing w:before="0" w:after="0" w:line="276" w:lineRule="auto"/>
        <w:ind w:left="284" w:hanging="284"/>
        <w:rPr>
          <w:sz w:val="18"/>
          <w:szCs w:val="18"/>
        </w:rPr>
      </w:pPr>
      <w:r>
        <w:rPr>
          <w:sz w:val="18"/>
          <w:szCs w:val="18"/>
        </w:rPr>
        <w:t xml:space="preserve">15. Panvinio 1558. </w:t>
      </w:r>
    </w:p>
    <w:p w:rsidR="00307781" w:rsidRDefault="00743576">
      <w:pPr>
        <w:spacing w:before="0" w:after="0" w:line="276" w:lineRule="auto"/>
        <w:ind w:left="284" w:hanging="284"/>
        <w:rPr>
          <w:sz w:val="18"/>
          <w:szCs w:val="18"/>
        </w:rPr>
      </w:pPr>
      <w:r>
        <w:rPr>
          <w:sz w:val="18"/>
          <w:szCs w:val="18"/>
        </w:rPr>
        <w:t>16. Philandrier 1544. – Nur Margaret Daly Davis hat in ihrem ver</w:t>
      </w:r>
      <w:r>
        <w:rPr>
          <w:sz w:val="18"/>
          <w:szCs w:val="18"/>
        </w:rPr>
        <w:softHyphen/>
        <w:t>dienstvollen Wolfenbütteler Ausstellungskatalog (Daly Davis 1994) noch einige weitere Bände über die beteiligten Personen mit dem von Tolomei beschriebenen Projekt in Verbindung ge</w:t>
      </w:r>
      <w:r>
        <w:rPr>
          <w:sz w:val="18"/>
          <w:szCs w:val="18"/>
        </w:rPr>
        <w:softHyphen/>
        <w:t xml:space="preserve">bracht. </w:t>
      </w:r>
    </w:p>
    <w:p w:rsidR="00307781" w:rsidRDefault="00743576">
      <w:pPr>
        <w:spacing w:before="0" w:after="0" w:line="276" w:lineRule="auto"/>
        <w:ind w:left="284" w:hanging="284"/>
        <w:rPr>
          <w:sz w:val="18"/>
          <w:szCs w:val="18"/>
        </w:rPr>
      </w:pPr>
      <w:r>
        <w:rPr>
          <w:sz w:val="18"/>
          <w:szCs w:val="18"/>
        </w:rPr>
        <w:t xml:space="preserve">17. Vgl. Harprath/Wrede 1986 und Harprath/Wrede 1989. – Ein vollständiger Katalog des </w:t>
      </w:r>
      <w:r>
        <w:rPr>
          <w:rStyle w:val="Betont"/>
          <w:sz w:val="18"/>
          <w:szCs w:val="18"/>
        </w:rPr>
        <w:t xml:space="preserve">Codex Coburgensis </w:t>
      </w:r>
      <w:r>
        <w:rPr>
          <w:sz w:val="18"/>
          <w:szCs w:val="18"/>
        </w:rPr>
        <w:t>wird von Hen</w:t>
      </w:r>
      <w:r>
        <w:rPr>
          <w:sz w:val="18"/>
          <w:szCs w:val="18"/>
        </w:rPr>
        <w:softHyphen/>
        <w:t xml:space="preserve">ning Wrede zur Zeit abgeschlossen. Die Arbeiten Kathrin Schades am </w:t>
      </w:r>
      <w:r>
        <w:rPr>
          <w:rStyle w:val="Betont"/>
          <w:sz w:val="18"/>
          <w:szCs w:val="18"/>
        </w:rPr>
        <w:t>Codex Pighianus</w:t>
      </w:r>
      <w:r>
        <w:rPr>
          <w:sz w:val="18"/>
          <w:szCs w:val="18"/>
        </w:rPr>
        <w:t xml:space="preserve"> mussten aus beruflichen Grün</w:t>
      </w:r>
      <w:r>
        <w:rPr>
          <w:sz w:val="18"/>
          <w:szCs w:val="18"/>
        </w:rPr>
        <w:softHyphen/>
        <w:t>den unterbrochen und konnten bisher leider noch nicht wieder aufgenommen werden.</w:t>
      </w:r>
    </w:p>
    <w:p w:rsidR="00307781" w:rsidRDefault="00743576">
      <w:pPr>
        <w:spacing w:before="0" w:after="0" w:line="276" w:lineRule="auto"/>
        <w:ind w:left="284" w:hanging="284"/>
        <w:rPr>
          <w:sz w:val="18"/>
          <w:szCs w:val="18"/>
        </w:rPr>
      </w:pPr>
      <w:r>
        <w:rPr>
          <w:sz w:val="18"/>
          <w:szCs w:val="18"/>
        </w:rPr>
        <w:lastRenderedPageBreak/>
        <w:t>18. Vgl. hierzu Kulawik 2002 und (mit Ergänzungen) 2017.</w:t>
      </w:r>
    </w:p>
    <w:p w:rsidR="00307781" w:rsidRDefault="00743576">
      <w:pPr>
        <w:spacing w:before="0" w:after="0" w:line="276" w:lineRule="auto"/>
        <w:ind w:left="284" w:hanging="284"/>
        <w:rPr>
          <w:sz w:val="18"/>
          <w:szCs w:val="18"/>
        </w:rPr>
      </w:pPr>
      <w:r>
        <w:rPr>
          <w:sz w:val="18"/>
          <w:szCs w:val="18"/>
        </w:rPr>
        <w:t xml:space="preserve">19. Sie befinden sich in zwei der drei Bände des sog. </w:t>
      </w:r>
      <w:r>
        <w:rPr>
          <w:i/>
          <w:sz w:val="18"/>
          <w:szCs w:val="18"/>
        </w:rPr>
        <w:t>Codex Minia</w:t>
      </w:r>
      <w:r>
        <w:rPr>
          <w:i/>
          <w:sz w:val="18"/>
          <w:szCs w:val="18"/>
        </w:rPr>
        <w:softHyphen/>
        <w:t>tus</w:t>
      </w:r>
      <w:r>
        <w:rPr>
          <w:sz w:val="18"/>
          <w:szCs w:val="18"/>
        </w:rPr>
        <w:t xml:space="preserve"> 21 der Österreichischen Nationalbibliothek in Wien.</w:t>
      </w:r>
    </w:p>
    <w:p w:rsidR="00307781" w:rsidRDefault="00743576">
      <w:pPr>
        <w:spacing w:before="0" w:after="0" w:line="276" w:lineRule="auto"/>
        <w:ind w:left="284" w:hanging="284"/>
      </w:pPr>
      <w:r>
        <w:rPr>
          <w:sz w:val="18"/>
          <w:szCs w:val="18"/>
        </w:rPr>
        <w:t>20. Vgl. Kulawik 2002, 2007, 2017, 2017.1 sowie (fortlaufend ak</w:t>
      </w:r>
      <w:r>
        <w:rPr>
          <w:sz w:val="18"/>
          <w:szCs w:val="18"/>
        </w:rPr>
        <w:softHyphen/>
        <w:t xml:space="preserve">tualisiert) </w:t>
      </w:r>
      <w:hyperlink r:id="rId33">
        <w:r>
          <w:rPr>
            <w:rStyle w:val="Internetverknpfung"/>
            <w:sz w:val="18"/>
            <w:szCs w:val="18"/>
          </w:rPr>
          <w:t>http://www.accademia-vitruviana.net/accademia</w:t>
        </w:r>
      </w:hyperlink>
      <w:r>
        <w:rPr>
          <w:sz w:val="18"/>
          <w:szCs w:val="18"/>
        </w:rPr>
        <w:t>.</w:t>
      </w:r>
    </w:p>
    <w:p w:rsidR="00307781" w:rsidRDefault="00743576">
      <w:pPr>
        <w:spacing w:before="0" w:after="0" w:line="276" w:lineRule="auto"/>
        <w:ind w:left="284" w:hanging="284"/>
        <w:rPr>
          <w:sz w:val="18"/>
          <w:szCs w:val="18"/>
        </w:rPr>
      </w:pPr>
      <w:r>
        <w:rPr>
          <w:sz w:val="18"/>
          <w:szCs w:val="18"/>
        </w:rPr>
        <w:t>21. Vignola 1562. – Zur komplexen Entstehungsgeschichte und kaum zu überschätzenden Wirkung dieses Buches auf die Ar</w:t>
      </w:r>
      <w:r>
        <w:rPr>
          <w:sz w:val="18"/>
          <w:szCs w:val="18"/>
        </w:rPr>
        <w:softHyphen/>
        <w:t>chitekturgeschichte vgl. Thoenes 1983]. – Vignolas Regel-werk wurde bis ins 20. Jahrhundert hunderte Male nachge</w:t>
      </w:r>
      <w:r>
        <w:rPr>
          <w:sz w:val="18"/>
          <w:szCs w:val="18"/>
        </w:rPr>
        <w:softHyphen/>
        <w:t xml:space="preserve">druckt und dürfte im Studium jedes Architekten zumindest bis in die Zeit des </w:t>
      </w:r>
      <w:r>
        <w:rPr>
          <w:rStyle w:val="Betont"/>
          <w:i w:val="0"/>
          <w:sz w:val="18"/>
          <w:szCs w:val="18"/>
        </w:rPr>
        <w:t>Bauhauses</w:t>
      </w:r>
      <w:r>
        <w:rPr>
          <w:rStyle w:val="Betont"/>
          <w:sz w:val="18"/>
          <w:szCs w:val="18"/>
        </w:rPr>
        <w:t xml:space="preserve"> </w:t>
      </w:r>
      <w:r>
        <w:rPr>
          <w:sz w:val="18"/>
          <w:szCs w:val="18"/>
        </w:rPr>
        <w:t xml:space="preserve">eine wichtige Rolle gespielt haben. Anhand der klassizistischen Phasen der westlichen Architektur lässt sich dies auch leicht nachvollziehen. Insofern dürfte das ambitio-nierte Ziel der </w:t>
      </w:r>
      <w:r>
        <w:rPr>
          <w:rStyle w:val="Betont"/>
          <w:sz w:val="18"/>
          <w:szCs w:val="18"/>
        </w:rPr>
        <w:t>Accademia</w:t>
      </w:r>
      <w:r>
        <w:rPr>
          <w:sz w:val="18"/>
          <w:szCs w:val="18"/>
        </w:rPr>
        <w:t>, die weitere Entwicklung der Archi-tektur zu beeinflussen, insbesondere durch die Erfol</w:t>
      </w:r>
      <w:r>
        <w:rPr>
          <w:sz w:val="18"/>
          <w:szCs w:val="18"/>
        </w:rPr>
        <w:softHyphen/>
        <w:t xml:space="preserve">ge Vignolas und Palladios in gewisser Weise erreicht worden sein. – </w:t>
      </w:r>
      <w:r>
        <w:rPr>
          <w:rStyle w:val="Betont"/>
          <w:i w:val="0"/>
          <w:sz w:val="18"/>
          <w:szCs w:val="18"/>
        </w:rPr>
        <w:t>Dirk</w:t>
      </w:r>
      <w:r>
        <w:rPr>
          <w:sz w:val="18"/>
          <w:szCs w:val="18"/>
        </w:rPr>
        <w:t xml:space="preserve"> Jansen verdanke ich den Hinweis auf eine Zeich</w:t>
      </w:r>
      <w:r>
        <w:rPr>
          <w:sz w:val="18"/>
          <w:szCs w:val="18"/>
        </w:rPr>
        <w:softHyphen/>
        <w:t>nungsgruppe in der Vatikanischen Bibliothek (</w:t>
      </w:r>
      <w:r>
        <w:rPr>
          <w:rStyle w:val="Betont"/>
          <w:sz w:val="18"/>
          <w:szCs w:val="18"/>
        </w:rPr>
        <w:t>Codex Ross. 618</w:t>
      </w:r>
      <w:r>
        <w:rPr>
          <w:sz w:val="18"/>
          <w:szCs w:val="18"/>
        </w:rPr>
        <w:t>), die neben bisher unbeachteten Kopien nach Vorstudien für Vignolas Tafeln auch Zeichnungen Stradas beinhaltet und somit als Indiz für eine Kooperation der beiden Architekten an</w:t>
      </w:r>
      <w:r>
        <w:rPr>
          <w:sz w:val="18"/>
          <w:szCs w:val="18"/>
        </w:rPr>
        <w:softHyphen/>
        <w:t>gesehen werden kann. Ihre Bearbeitung steht noch aus. Dane</w:t>
      </w:r>
      <w:r>
        <w:rPr>
          <w:sz w:val="18"/>
          <w:szCs w:val="18"/>
        </w:rPr>
        <w:softHyphen/>
        <w:t>ben enthält der vatikanische Codex Zeichnungen Antonio La</w:t>
      </w:r>
      <w:r>
        <w:rPr>
          <w:sz w:val="18"/>
          <w:szCs w:val="18"/>
        </w:rPr>
        <w:softHyphen/>
        <w:t>baccos, der nicht nur vermutlich auf einer eigens in seinem Haus installierten Druckerpresse sein eigenes Buch sowie das</w:t>
      </w:r>
      <w:r>
        <w:rPr>
          <w:sz w:val="18"/>
          <w:szCs w:val="18"/>
        </w:rPr>
        <w:softHyphen/>
        <w:t xml:space="preserve">jenige Vignolas druckte, sondern als Sangallos rechte Hand quasi als Bauleiter der Peterskirche fun-gierte und dort dem Hauptzeichner des Berliner </w:t>
      </w:r>
      <w:r>
        <w:rPr>
          <w:rStyle w:val="Betont"/>
          <w:sz w:val="18"/>
          <w:szCs w:val="18"/>
        </w:rPr>
        <w:t xml:space="preserve">Codex Destailleur D </w:t>
      </w:r>
      <w:r>
        <w:rPr>
          <w:rStyle w:val="Betont"/>
          <w:i w:val="0"/>
          <w:sz w:val="18"/>
          <w:szCs w:val="18"/>
        </w:rPr>
        <w:t>(Kunstbiblio</w:t>
      </w:r>
      <w:r>
        <w:rPr>
          <w:rStyle w:val="Betont"/>
          <w:i w:val="0"/>
          <w:sz w:val="18"/>
          <w:szCs w:val="18"/>
        </w:rPr>
        <w:softHyphen/>
        <w:t xml:space="preserve">thek Berlin, HDZ 4151), dem sog. </w:t>
      </w:r>
      <w:r>
        <w:rPr>
          <w:rStyle w:val="Betont"/>
          <w:sz w:val="18"/>
          <w:szCs w:val="18"/>
        </w:rPr>
        <w:t>Anonymus Destailleur</w:t>
      </w:r>
      <w:r>
        <w:rPr>
          <w:rStyle w:val="Betont"/>
          <w:i w:val="0"/>
          <w:sz w:val="18"/>
          <w:szCs w:val="18"/>
        </w:rPr>
        <w:t xml:space="preserve">, </w:t>
      </w:r>
      <w:r>
        <w:rPr>
          <w:sz w:val="18"/>
          <w:szCs w:val="18"/>
        </w:rPr>
        <w:t>Zu</w:t>
      </w:r>
      <w:r>
        <w:rPr>
          <w:sz w:val="18"/>
          <w:szCs w:val="18"/>
        </w:rPr>
        <w:softHyphen/>
        <w:t>gang zu den Pla-nungsunterlagen des damals größten nachanti</w:t>
      </w:r>
      <w:r>
        <w:rPr>
          <w:sz w:val="18"/>
          <w:szCs w:val="18"/>
        </w:rPr>
        <w:softHyphen/>
        <w:t xml:space="preserve">ken Bauvorhabens gewährte (vgl. Kulawik 2017). </w:t>
      </w:r>
    </w:p>
    <w:p w:rsidR="00307781" w:rsidRDefault="00743576">
      <w:pPr>
        <w:spacing w:before="0" w:after="0" w:line="276" w:lineRule="auto"/>
        <w:ind w:left="284" w:hanging="284"/>
        <w:rPr>
          <w:sz w:val="18"/>
          <w:szCs w:val="18"/>
        </w:rPr>
      </w:pPr>
      <w:r>
        <w:rPr>
          <w:sz w:val="18"/>
          <w:szCs w:val="18"/>
        </w:rPr>
        <w:t>22. Vasari 1568, Bd. 3.2, S. 700; Egnazio Danti wiederholt diese Angabe fast wörtlich auf der ungezählten zweiten Seite seiner «Vita» Vignolas, die er dem postum herausgegebenen Perspek</w:t>
      </w:r>
      <w:r>
        <w:rPr>
          <w:sz w:val="18"/>
          <w:szCs w:val="18"/>
        </w:rPr>
        <w:softHyphen/>
        <w:t xml:space="preserve">tive-Traktat Vignolas voranstellt: Vignola/Danti 1583. Beide </w:t>
      </w:r>
      <w:r>
        <w:rPr>
          <w:sz w:val="18"/>
          <w:szCs w:val="18"/>
        </w:rPr>
        <w:lastRenderedPageBreak/>
        <w:t>kannten Vignola persönlich, so dass man ihre Angaben sicher</w:t>
      </w:r>
      <w:r>
        <w:rPr>
          <w:sz w:val="18"/>
          <w:szCs w:val="18"/>
        </w:rPr>
        <w:softHyphen/>
        <w:t xml:space="preserve">lich als verläss-lich ansehen kann. </w:t>
      </w:r>
    </w:p>
    <w:p w:rsidR="00307781" w:rsidRDefault="00743576">
      <w:pPr>
        <w:spacing w:before="0" w:after="0" w:line="276" w:lineRule="auto"/>
        <w:ind w:left="284" w:hanging="284"/>
        <w:rPr>
          <w:sz w:val="18"/>
          <w:szCs w:val="18"/>
        </w:rPr>
      </w:pPr>
      <w:r>
        <w:rPr>
          <w:sz w:val="18"/>
          <w:szCs w:val="18"/>
        </w:rPr>
        <w:t>23. Palladio 1570: Palladios viertes Buch enthält Darstellungen an</w:t>
      </w:r>
      <w:r>
        <w:rPr>
          <w:sz w:val="18"/>
          <w:szCs w:val="18"/>
        </w:rPr>
        <w:softHyphen/>
        <w:t>tiker römischer Tempel in Grundriss, Aufriss und Schnitt und ergänzt diese um je einen historischen und einen architektoni</w:t>
      </w:r>
      <w:r>
        <w:rPr>
          <w:sz w:val="18"/>
          <w:szCs w:val="18"/>
        </w:rPr>
        <w:softHyphen/>
        <w:t>schen Kom-mentar, womit es genau der Beschreibung Tolo</w:t>
      </w:r>
      <w:r>
        <w:rPr>
          <w:sz w:val="18"/>
          <w:szCs w:val="18"/>
        </w:rPr>
        <w:softHyphen/>
        <w:t xml:space="preserve">meis für den geplan-ten 13. Band des </w:t>
      </w:r>
      <w:r>
        <w:rPr>
          <w:i/>
          <w:sz w:val="18"/>
          <w:szCs w:val="18"/>
        </w:rPr>
        <w:t>Accademia-</w:t>
      </w:r>
      <w:r>
        <w:rPr>
          <w:sz w:val="18"/>
          <w:szCs w:val="18"/>
        </w:rPr>
        <w:t>Projekts nt</w:t>
      </w:r>
      <w:r>
        <w:rPr>
          <w:sz w:val="18"/>
          <w:szCs w:val="18"/>
        </w:rPr>
        <w:softHyphen/>
        <w:t>spricht. Und es ist anzuneh-men, dass dieses Schema auch für die geplanten, aber von Palladio nicht mehr vollendeten Bü</w:t>
      </w:r>
      <w:r>
        <w:rPr>
          <w:sz w:val="18"/>
          <w:szCs w:val="18"/>
        </w:rPr>
        <w:softHyphen/>
        <w:t>cher über die römischen Triumphbögen und Thermen hätte übernommen werden sollen. Der frühere Steinmetz Andrea di Pietro della Gondola hielt sich in Begleitung seines Mentors Giangiorgio Trissino, der für ihn den antiken Namen «Palla</w:t>
      </w:r>
      <w:r>
        <w:rPr>
          <w:sz w:val="18"/>
          <w:szCs w:val="18"/>
        </w:rPr>
        <w:softHyphen/>
        <w:t xml:space="preserve">dio» ersann, in den 1540er Jahren – also zur Zeit der Aktivität der </w:t>
      </w:r>
      <w:r>
        <w:rPr>
          <w:rStyle w:val="Betont"/>
          <w:sz w:val="18"/>
          <w:szCs w:val="18"/>
        </w:rPr>
        <w:t>Accademia</w:t>
      </w:r>
      <w:r>
        <w:rPr>
          <w:sz w:val="18"/>
          <w:szCs w:val="18"/>
        </w:rPr>
        <w:t xml:space="preserve"> – mehrfach längere Zeit in Rom auf, um die an</w:t>
      </w:r>
      <w:r>
        <w:rPr>
          <w:sz w:val="18"/>
          <w:szCs w:val="18"/>
        </w:rPr>
        <w:softHyphen/>
        <w:t xml:space="preserve">tiken Bauten zu studieren. Dass er dies im Kontext der </w:t>
      </w:r>
      <w:r>
        <w:rPr>
          <w:rStyle w:val="Betont"/>
          <w:sz w:val="18"/>
          <w:szCs w:val="18"/>
        </w:rPr>
        <w:t>Acca</w:t>
      </w:r>
      <w:r>
        <w:rPr>
          <w:rStyle w:val="Betont"/>
          <w:sz w:val="18"/>
          <w:szCs w:val="18"/>
        </w:rPr>
        <w:softHyphen/>
        <w:t xml:space="preserve">demia </w:t>
      </w:r>
      <w:r>
        <w:rPr>
          <w:sz w:val="18"/>
          <w:szCs w:val="18"/>
        </w:rPr>
        <w:t>tat, belegen nicht nur die vielen erhaltenen Zeichnungen von Palladios Hand nach fremden, (noch) unbekannten Vorla</w:t>
      </w:r>
      <w:r>
        <w:rPr>
          <w:sz w:val="18"/>
          <w:szCs w:val="18"/>
        </w:rPr>
        <w:softHyphen/>
        <w:t>gen, sondern insbesondere einige Blätter mit Zeichnungen der</w:t>
      </w:r>
      <w:r>
        <w:rPr>
          <w:sz w:val="18"/>
          <w:szCs w:val="18"/>
        </w:rPr>
        <w:softHyphen/>
        <w:t xml:space="preserve">selben anonymen französischsprachigen Zeichner, welche die riesige Zeichnungs-gruppe im Umfeld des Berliner </w:t>
      </w:r>
      <w:r>
        <w:rPr>
          <w:rStyle w:val="Betont"/>
          <w:sz w:val="18"/>
          <w:szCs w:val="18"/>
        </w:rPr>
        <w:t>Codex De</w:t>
      </w:r>
      <w:r>
        <w:rPr>
          <w:rStyle w:val="Betont"/>
          <w:sz w:val="18"/>
          <w:szCs w:val="18"/>
        </w:rPr>
        <w:softHyphen/>
        <w:t xml:space="preserve">stailleur D </w:t>
      </w:r>
      <w:r>
        <w:rPr>
          <w:sz w:val="18"/>
          <w:szCs w:val="18"/>
        </w:rPr>
        <w:t xml:space="preserve">erarbeitet hat. M.W. ist diese Verbindung zwischen später ungemein einfluss-reichen Antikenstudien Palladios und der </w:t>
      </w:r>
      <w:r>
        <w:rPr>
          <w:rStyle w:val="Betont"/>
          <w:sz w:val="18"/>
          <w:szCs w:val="18"/>
        </w:rPr>
        <w:t xml:space="preserve">Accademia </w:t>
      </w:r>
      <w:r>
        <w:rPr>
          <w:sz w:val="18"/>
          <w:szCs w:val="18"/>
        </w:rPr>
        <w:t>bis heute nicht wahrgenommen oder gar unter</w:t>
      </w:r>
      <w:r>
        <w:rPr>
          <w:sz w:val="18"/>
          <w:szCs w:val="18"/>
        </w:rPr>
        <w:softHyphen/>
        <w:t>sucht worden.</w:t>
      </w:r>
    </w:p>
    <w:p w:rsidR="00307781" w:rsidRDefault="00743576">
      <w:pPr>
        <w:spacing w:before="0" w:after="0" w:line="276" w:lineRule="auto"/>
        <w:ind w:left="284" w:hanging="284"/>
        <w:rPr>
          <w:sz w:val="18"/>
          <w:szCs w:val="18"/>
        </w:rPr>
      </w:pPr>
      <w:r>
        <w:rPr>
          <w:sz w:val="18"/>
          <w:szCs w:val="18"/>
        </w:rPr>
        <w:t>24. Cervini schloss bspw. auch mit dem Verleger und Drucker An</w:t>
      </w:r>
      <w:r>
        <w:rPr>
          <w:sz w:val="18"/>
          <w:szCs w:val="18"/>
        </w:rPr>
        <w:softHyphen/>
        <w:t xml:space="preserve">tonio Blado, der viele Bücher veröffentlichte, die sich dem Umkreis der </w:t>
      </w:r>
      <w:r>
        <w:rPr>
          <w:rStyle w:val="Betont"/>
          <w:sz w:val="18"/>
          <w:szCs w:val="18"/>
        </w:rPr>
        <w:t xml:space="preserve">Accademia </w:t>
      </w:r>
      <w:r>
        <w:rPr>
          <w:sz w:val="18"/>
          <w:szCs w:val="18"/>
        </w:rPr>
        <w:t>zurechnen lassen, einen Vertrag über die Einrichtung eines Verlags für griechischsprachige Litera</w:t>
      </w:r>
      <w:r>
        <w:rPr>
          <w:sz w:val="18"/>
          <w:szCs w:val="18"/>
        </w:rPr>
        <w:softHyphen/>
        <w:t xml:space="preserve">tur. Dort sollten vor allem Texte der orthodoxen Kirchenväter er-scheinen, aber auch nicht-theologische antike Schriften: So erschien 1555 in Blados Verlag die Erstausgabe der </w:t>
      </w:r>
      <w:r>
        <w:rPr>
          <w:rStyle w:val="Betont"/>
          <w:sz w:val="18"/>
          <w:szCs w:val="18"/>
        </w:rPr>
        <w:t>Biblio</w:t>
      </w:r>
      <w:r>
        <w:rPr>
          <w:rStyle w:val="Betont"/>
          <w:sz w:val="18"/>
          <w:szCs w:val="18"/>
        </w:rPr>
        <w:softHyphen/>
        <w:t xml:space="preserve">théké </w:t>
      </w:r>
      <w:r>
        <w:rPr>
          <w:sz w:val="18"/>
          <w:szCs w:val="18"/>
        </w:rPr>
        <w:t>des (Pseudo-) Apollodorus von Athen, in welcher grie</w:t>
      </w:r>
      <w:r>
        <w:rPr>
          <w:sz w:val="18"/>
          <w:szCs w:val="18"/>
        </w:rPr>
        <w:softHyphen/>
        <w:t>chischer Text und lateinische Übersetzung spaltenweise neben</w:t>
      </w:r>
      <w:r>
        <w:rPr>
          <w:sz w:val="18"/>
          <w:szCs w:val="18"/>
        </w:rPr>
        <w:softHyphen/>
        <w:t>einander gestellt sind: Apollodorus/Egio 1555. Der Herausge</w:t>
      </w:r>
      <w:r>
        <w:rPr>
          <w:sz w:val="18"/>
          <w:szCs w:val="18"/>
        </w:rPr>
        <w:softHyphen/>
        <w:t xml:space="preserve">ber und Übersetzer, Bendetto Egio, widmete seine Edition nicht wie üblich einem (potentiellen) Mäzen, sondern seinem Freund Jean </w:t>
      </w:r>
      <w:r>
        <w:rPr>
          <w:sz w:val="18"/>
          <w:szCs w:val="18"/>
        </w:rPr>
        <w:lastRenderedPageBreak/>
        <w:t>Matal. Wie schwierig das Drucken (und wohl auch der Absatz) griechischer Texte im 16. Jahrhundert noch war, mag der Um-stand verdeutlichen, dass die zweite Auflage des Buches 1565 in Antwerpen zwar mit der Widmung an Ma</w:t>
      </w:r>
      <w:r>
        <w:rPr>
          <w:sz w:val="18"/>
          <w:szCs w:val="18"/>
        </w:rPr>
        <w:softHyphen/>
        <w:t>tal, aber ohne den griechischen Originaltext erschien: Apollo</w:t>
      </w:r>
      <w:r>
        <w:rPr>
          <w:sz w:val="18"/>
          <w:szCs w:val="18"/>
        </w:rPr>
        <w:softHyphen/>
        <w:t>dorus/Egio 1565.</w:t>
      </w:r>
    </w:p>
    <w:p w:rsidR="00307781" w:rsidRDefault="00743576">
      <w:pPr>
        <w:spacing w:before="0" w:after="0" w:line="276" w:lineRule="auto"/>
        <w:ind w:left="284" w:hanging="284"/>
        <w:rPr>
          <w:sz w:val="18"/>
          <w:szCs w:val="18"/>
        </w:rPr>
      </w:pPr>
      <w:r>
        <w:rPr>
          <w:sz w:val="18"/>
          <w:szCs w:val="18"/>
        </w:rPr>
        <w:t>25. Relativ berühmt ist der Bericht des französischen Architekten Philibert de L'Orme, der bei seinen Vermessungen antiker Bau</w:t>
      </w:r>
      <w:r>
        <w:rPr>
          <w:sz w:val="18"/>
          <w:szCs w:val="18"/>
        </w:rPr>
        <w:softHyphen/>
        <w:t>ten in Rom (zwischen 1533 und 1536) auf Cervini und an</w:t>
      </w:r>
      <w:r>
        <w:rPr>
          <w:sz w:val="18"/>
          <w:szCs w:val="18"/>
        </w:rPr>
        <w:softHyphen/>
        <w:t>dere Gelehrte traf, welche ihm rieten, die Bauten mit dem bzw. einem antiken Fußmaß aufzunehmen, so dass er deren Propor</w:t>
      </w:r>
      <w:r>
        <w:rPr>
          <w:sz w:val="18"/>
          <w:szCs w:val="18"/>
        </w:rPr>
        <w:softHyphen/>
        <w:t xml:space="preserve">tionen leichter würde rekonstruieren können: De L'Orme 1567, fol. 131 </w:t>
      </w:r>
      <w:r>
        <w:rPr>
          <w:i/>
          <w:sz w:val="18"/>
          <w:szCs w:val="18"/>
        </w:rPr>
        <w:t>recto.</w:t>
      </w:r>
      <w:r>
        <w:rPr>
          <w:sz w:val="18"/>
          <w:szCs w:val="18"/>
        </w:rPr>
        <w:t xml:space="preserve"> Dass es in der Antike kein einheitliches Fußmaß in Rom gab, man also nicht wissen konnte, welches für ein spezifisches Bauwerk zugrunde zu legen sei, hat Cervini zum damaligen Zeitpunkt vielleicht noch nicht gewusst: In der In</w:t>
      </w:r>
      <w:r>
        <w:rPr>
          <w:sz w:val="18"/>
          <w:szCs w:val="18"/>
        </w:rPr>
        <w:softHyphen/>
        <w:t>schriftensammlung Matals sind dann ab 1545 aber ein gutes Dutzend unterschiedliche Maße in Originalgröße verzeichnet, so dass die Akademiker spätestens in der zweiten Hälfte der 1540er Jahre über die Schwierigkeiten bei der Rekonstruktion eines Baumaßes informiert gewesen sein dürften.</w:t>
      </w:r>
    </w:p>
    <w:p w:rsidR="00307781" w:rsidRDefault="00743576">
      <w:pPr>
        <w:spacing w:before="0" w:after="0" w:line="276" w:lineRule="auto"/>
        <w:ind w:left="284" w:hanging="284"/>
        <w:rPr>
          <w:rFonts w:eastAsia="Times New Roman"/>
          <w:sz w:val="18"/>
          <w:szCs w:val="18"/>
        </w:rPr>
      </w:pPr>
      <w:r>
        <w:rPr>
          <w:sz w:val="18"/>
          <w:szCs w:val="18"/>
        </w:rPr>
        <w:t xml:space="preserve">26. </w:t>
      </w:r>
      <w:r>
        <w:rPr>
          <w:rFonts w:eastAsia="Times New Roman"/>
          <w:sz w:val="18"/>
          <w:szCs w:val="18"/>
        </w:rPr>
        <w:t xml:space="preserve">Die Reinzeichnungen hierzu haben sich fast vollständig in der Berliner Kunstbibliothek erhalten (Inv.-Nr. 1979.6 AOZ). Sie und ihre Beziehungen zu Cervini oder der </w:t>
      </w:r>
      <w:r>
        <w:rPr>
          <w:rFonts w:eastAsia="Times New Roman"/>
          <w:i/>
          <w:sz w:val="18"/>
          <w:szCs w:val="18"/>
        </w:rPr>
        <w:t xml:space="preserve">Accademia </w:t>
      </w:r>
      <w:r>
        <w:rPr>
          <w:rFonts w:eastAsia="Times New Roman"/>
          <w:sz w:val="18"/>
          <w:szCs w:val="18"/>
        </w:rPr>
        <w:t>sind m.W. bis heute jedoch nicht detailliert untersucht worden.</w:t>
      </w:r>
    </w:p>
    <w:p w:rsidR="00307781" w:rsidRDefault="00743576">
      <w:pPr>
        <w:spacing w:before="0" w:after="0" w:line="276" w:lineRule="auto"/>
        <w:ind w:left="284" w:hanging="284"/>
        <w:rPr>
          <w:sz w:val="18"/>
          <w:szCs w:val="18"/>
        </w:rPr>
      </w:pPr>
      <w:r>
        <w:rPr>
          <w:rFonts w:eastAsia="Times New Roman"/>
          <w:sz w:val="18"/>
          <w:szCs w:val="18"/>
        </w:rPr>
        <w:t xml:space="preserve">27. </w:t>
      </w:r>
      <w:r>
        <w:rPr>
          <w:sz w:val="18"/>
          <w:szCs w:val="18"/>
        </w:rPr>
        <w:t xml:space="preserve">Die Forschungen zu den Antikenstudien gehen auf die Disser-tation des Verfassers (Kulawik 2002) zurück und konnten dank einer Förderung durch den Schweizerischen Nationalfonds SNF 2013 fortgesetzt werden. Aufgrund der dabei entdeckten riesigen Zahl an miteinander verbundenen Zeichnungen war ein Abschluss der Erfassung und Katalogisierung aber noch nicht möglich: Der zu untersuchende Bestand hatte sich von zu Anfang (2013) geschätzten 220 Blättern mit ca. 850 Einzel-zeichnungen über zwischenzeitlich (2017) ca. 700 Blätter mit 3.500 Zeichnungen auf aktuell (2019) über 1400 Blätter mit ca. 4.500 Zeichnungen mehr als verfünffacht! – Wie komplex bspw. das Verhältnis der Zeichnungen untereinander und ihrer Tradierung ist, </w:t>
      </w:r>
      <w:r>
        <w:rPr>
          <w:sz w:val="18"/>
          <w:szCs w:val="18"/>
        </w:rPr>
        <w:lastRenderedPageBreak/>
        <w:t>hat Maximilian Schich in seiner Dissertation (Schich 2009) mit großem technischen Aufwand zeigen kön</w:t>
      </w:r>
      <w:r>
        <w:rPr>
          <w:sz w:val="18"/>
          <w:szCs w:val="18"/>
        </w:rPr>
        <w:softHyphen/>
        <w:t>nen.</w:t>
      </w:r>
    </w:p>
    <w:p w:rsidR="00307781" w:rsidRDefault="00743576">
      <w:pPr>
        <w:spacing w:before="0" w:after="0" w:line="276" w:lineRule="auto"/>
        <w:ind w:left="284" w:hanging="284"/>
        <w:rPr>
          <w:rFonts w:eastAsia="Times New Roman"/>
          <w:sz w:val="18"/>
          <w:szCs w:val="18"/>
        </w:rPr>
      </w:pPr>
      <w:r>
        <w:rPr>
          <w:sz w:val="18"/>
          <w:szCs w:val="18"/>
        </w:rPr>
        <w:t xml:space="preserve">28. </w:t>
      </w:r>
      <w:r>
        <w:rPr>
          <w:rFonts w:eastAsia="Times New Roman"/>
          <w:sz w:val="18"/>
          <w:szCs w:val="18"/>
        </w:rPr>
        <w:t>Dass ausgerechnet der Band über die Münzen Kaiser Hadrians, der sicher einer der aktivsten Bauherren Roms war, fehlt, ist ein besonders bedauerlicher Verlust.</w:t>
      </w:r>
    </w:p>
    <w:p w:rsidR="00307781" w:rsidRDefault="00743576">
      <w:pPr>
        <w:spacing w:before="0" w:after="0" w:line="276" w:lineRule="auto"/>
        <w:ind w:left="284" w:hanging="284"/>
        <w:rPr>
          <w:sz w:val="18"/>
          <w:szCs w:val="18"/>
        </w:rPr>
      </w:pPr>
      <w:r>
        <w:rPr>
          <w:rFonts w:eastAsia="Times New Roman"/>
          <w:sz w:val="18"/>
          <w:szCs w:val="18"/>
        </w:rPr>
        <w:t xml:space="preserve">29. Johann Jakob Fuggers Vater </w:t>
      </w:r>
      <w:r>
        <w:rPr>
          <w:sz w:val="18"/>
          <w:szCs w:val="18"/>
        </w:rPr>
        <w:t>Raimund Fugger hatte den Druck der bedeutenden, 1534 publi-zierten Inschriftensammlung (Syl-loge) der Ingolstädter Gelehrten Petrus Apianus und Bar</w:t>
      </w:r>
      <w:r>
        <w:rPr>
          <w:sz w:val="18"/>
          <w:szCs w:val="18"/>
        </w:rPr>
        <w:softHyphen/>
        <w:t>holo-mäus Amantius finanziert (Apianus/Amantius 1534). Ne</w:t>
      </w:r>
      <w:r>
        <w:rPr>
          <w:sz w:val="18"/>
          <w:szCs w:val="18"/>
        </w:rPr>
        <w:softHyphen/>
        <w:t>ben den Inschriften aus ganz (West-)Europa geben die Autoren auch gelegentlich in Illustrationen die Gefäße, Grabsteine oder Altäre usw. wieder, die als Inschriftenträger fungierten. Auch scheinen Auslassungen in den Inschriften auf Fehlstellen und Beschädi-gungen der Originale hinzuweisen, ohne dass dies je</w:t>
      </w:r>
      <w:r>
        <w:rPr>
          <w:sz w:val="18"/>
          <w:szCs w:val="18"/>
        </w:rPr>
        <w:softHyphen/>
        <w:t>doch syste-matisch durchgeführt und immer eindeutig erkenn</w:t>
      </w:r>
      <w:r>
        <w:rPr>
          <w:sz w:val="18"/>
          <w:szCs w:val="18"/>
        </w:rPr>
        <w:softHyphen/>
        <w:t>bar wäre. Gegenüber der sich auf Rom beschränkenden, 1521 gedruckten Sylloge des Verlegers Mazzochi (Mazochi 1521) stellt das von Fugger finanzierte Werk jedoch zweifellos be</w:t>
      </w:r>
      <w:r>
        <w:rPr>
          <w:sz w:val="18"/>
          <w:szCs w:val="18"/>
        </w:rPr>
        <w:softHyphen/>
        <w:t>reits einen metho-dischen Fortschritt dar. Ergänzend sei ange</w:t>
      </w:r>
      <w:r>
        <w:rPr>
          <w:sz w:val="18"/>
          <w:szCs w:val="18"/>
        </w:rPr>
        <w:softHyphen/>
        <w:t>merkt, dass sich in der Sächsischen Landes- und Universitäts</w:t>
      </w:r>
      <w:r>
        <w:rPr>
          <w:sz w:val="18"/>
          <w:szCs w:val="18"/>
        </w:rPr>
        <w:softHyphen/>
        <w:t>bibliothek Dresden eine umfangreiche handschriftliche Sylloge befindet, die Andrea Alciato zugeschrieben und – vermutlich fälschlich – auf Alciatos 16. Lebensjahr (1508) datiert wird. Sie enhält Inschrif-ten aus Mailand und seinem Umland in Zeichnungen, die wohl erstmals auch den Erhaltungszustand bzw. die Beschädigungen der Inschriften dokumentieren, so</w:t>
      </w:r>
      <w:r>
        <w:rPr>
          <w:sz w:val="18"/>
          <w:szCs w:val="18"/>
        </w:rPr>
        <w:softHyphen/>
        <w:t>wie jeweils umfangreiche Er-läuterungen. Jean Matal scheint diese Sylloge gekannt zu haben, denn seine eigene Sammlung in Rom scheint ausgerechnet Mailänder Inschriften bewusst auszuklammern.</w:t>
      </w:r>
    </w:p>
    <w:p w:rsidR="00307781" w:rsidRDefault="00743576">
      <w:pPr>
        <w:spacing w:before="0" w:after="0" w:line="276" w:lineRule="auto"/>
        <w:ind w:left="284" w:hanging="284"/>
        <w:rPr>
          <w:rFonts w:eastAsia="Times New Roman"/>
          <w:sz w:val="18"/>
          <w:szCs w:val="18"/>
        </w:rPr>
      </w:pPr>
      <w:r>
        <w:rPr>
          <w:sz w:val="18"/>
          <w:szCs w:val="18"/>
        </w:rPr>
        <w:t xml:space="preserve">30. </w:t>
      </w:r>
      <w:r>
        <w:rPr>
          <w:rFonts w:eastAsia="Times New Roman"/>
          <w:sz w:val="18"/>
          <w:szCs w:val="18"/>
        </w:rPr>
        <w:t xml:space="preserve">Eine Übersichtsdarstellung und Auswertung der Wasserzeichen der von Strada (nicht nur im </w:t>
      </w:r>
      <w:r>
        <w:rPr>
          <w:rFonts w:eastAsia="Times New Roman"/>
          <w:i/>
          <w:iCs/>
          <w:sz w:val="18"/>
          <w:szCs w:val="18"/>
        </w:rPr>
        <w:t>Magnum ac Novum Opus</w:t>
      </w:r>
      <w:r>
        <w:rPr>
          <w:rFonts w:eastAsia="Times New Roman"/>
          <w:sz w:val="18"/>
          <w:szCs w:val="18"/>
        </w:rPr>
        <w:t>) ver</w:t>
      </w:r>
      <w:r>
        <w:rPr>
          <w:rFonts w:eastAsia="Times New Roman"/>
          <w:sz w:val="18"/>
          <w:szCs w:val="18"/>
        </w:rPr>
        <w:softHyphen/>
        <w:t>wen-deten Papiere ist in Vorbereitung.</w:t>
      </w:r>
    </w:p>
    <w:p w:rsidR="00307781" w:rsidRDefault="00743576">
      <w:pPr>
        <w:spacing w:before="0" w:after="0" w:line="276" w:lineRule="auto"/>
        <w:ind w:left="284" w:hanging="284"/>
        <w:rPr>
          <w:rFonts w:eastAsia="Times New Roman"/>
          <w:sz w:val="18"/>
          <w:szCs w:val="18"/>
        </w:rPr>
      </w:pPr>
      <w:r>
        <w:rPr>
          <w:rFonts w:eastAsia="Times New Roman"/>
          <w:sz w:val="18"/>
          <w:szCs w:val="18"/>
        </w:rPr>
        <w:t>31. Vgl. Kulawik 2002, S. 65-84.</w:t>
      </w:r>
    </w:p>
    <w:p w:rsidR="00307781" w:rsidRDefault="00743576">
      <w:pPr>
        <w:spacing w:before="0" w:after="0" w:line="276" w:lineRule="auto"/>
        <w:ind w:left="284" w:hanging="284"/>
        <w:rPr>
          <w:rFonts w:eastAsia="Times New Roman"/>
          <w:sz w:val="18"/>
          <w:szCs w:val="18"/>
        </w:rPr>
      </w:pPr>
      <w:r>
        <w:rPr>
          <w:rFonts w:eastAsia="Times New Roman"/>
          <w:sz w:val="18"/>
          <w:szCs w:val="18"/>
        </w:rPr>
        <w:t xml:space="preserve">32. Gemeinsam mit Dirk Jansen habe ich alle Zeichnungen des </w:t>
      </w:r>
      <w:r>
        <w:rPr>
          <w:rFonts w:eastAsia="Times New Roman"/>
          <w:i/>
          <w:iCs/>
          <w:sz w:val="18"/>
          <w:szCs w:val="18"/>
        </w:rPr>
        <w:t xml:space="preserve">MaNO </w:t>
      </w:r>
      <w:r>
        <w:rPr>
          <w:rFonts w:eastAsia="Times New Roman"/>
          <w:sz w:val="18"/>
          <w:szCs w:val="18"/>
        </w:rPr>
        <w:t>einzelnen anonymen Zeichnerhänden zuzuweisen ver</w:t>
      </w:r>
      <w:r>
        <w:rPr>
          <w:rFonts w:eastAsia="Times New Roman"/>
          <w:sz w:val="18"/>
          <w:szCs w:val="18"/>
        </w:rPr>
        <w:softHyphen/>
        <w:t xml:space="preserve">sucht: Aufgrund der geschilderten Uneindeutigkeiten wird es </w:t>
      </w:r>
      <w:r>
        <w:rPr>
          <w:rFonts w:eastAsia="Times New Roman"/>
          <w:sz w:val="18"/>
          <w:szCs w:val="18"/>
        </w:rPr>
        <w:lastRenderedPageBreak/>
        <w:t>jedoch wohl leider nicht möglich sein, darüber Abschließendes festzustellen und zu veröffentlichen.</w:t>
      </w:r>
    </w:p>
    <w:p w:rsidR="00307781" w:rsidRDefault="00743576">
      <w:pPr>
        <w:spacing w:before="0" w:after="0" w:line="276" w:lineRule="auto"/>
        <w:ind w:left="284" w:hanging="284"/>
        <w:rPr>
          <w:rFonts w:eastAsia="Times New Roman"/>
          <w:sz w:val="18"/>
          <w:szCs w:val="18"/>
        </w:rPr>
      </w:pPr>
      <w:r>
        <w:rPr>
          <w:rFonts w:eastAsia="Times New Roman"/>
          <w:sz w:val="18"/>
          <w:szCs w:val="18"/>
        </w:rPr>
        <w:t>33. Die in zwei Abschriften zu je 11 Bänden in Wien und Prag er</w:t>
      </w:r>
      <w:r>
        <w:rPr>
          <w:rFonts w:eastAsia="Times New Roman"/>
          <w:sz w:val="18"/>
          <w:szCs w:val="18"/>
        </w:rPr>
        <w:softHyphen/>
        <w:t xml:space="preserve">haltene Aufstellung weicht von der Anordung der erst unter Albrecht V. gebundenen Zeichnungsbände in Gotha ab. Da die </w:t>
      </w:r>
      <w:r>
        <w:rPr>
          <w:rFonts w:eastAsia="Times New Roman"/>
          <w:i/>
          <w:iCs/>
          <w:sz w:val="18"/>
          <w:szCs w:val="18"/>
        </w:rPr>
        <w:t xml:space="preserve">Diaskeué </w:t>
      </w:r>
      <w:r>
        <w:rPr>
          <w:rFonts w:eastAsia="Times New Roman"/>
          <w:sz w:val="18"/>
          <w:szCs w:val="18"/>
        </w:rPr>
        <w:t>jedoch vermutlich bereits bis 1555 in Rom entstan</w:t>
      </w:r>
      <w:r>
        <w:rPr>
          <w:rFonts w:eastAsia="Times New Roman"/>
          <w:sz w:val="18"/>
          <w:szCs w:val="18"/>
        </w:rPr>
        <w:softHyphen/>
        <w:t xml:space="preserve">den sein dürfte – das Wiener Exemplar besteht vollständig aus römischem bzw. italienischem Papier –, erscheint es denkbar, dass diese von den Münzzeichnungen getrennte Liste bei der Bindung des </w:t>
      </w:r>
      <w:r>
        <w:rPr>
          <w:rFonts w:eastAsia="Times New Roman"/>
          <w:i/>
          <w:iCs/>
          <w:sz w:val="18"/>
          <w:szCs w:val="18"/>
        </w:rPr>
        <w:t xml:space="preserve">Magnum ac Novum Opus </w:t>
      </w:r>
      <w:r>
        <w:rPr>
          <w:rFonts w:eastAsia="Times New Roman"/>
          <w:sz w:val="18"/>
          <w:szCs w:val="18"/>
        </w:rPr>
        <w:t>nicht berücksichtigt wurde bzw. werden konnte, was die Abweichungen zwischen beiden zumindest teilweise erklären könnte.</w:t>
      </w:r>
    </w:p>
    <w:p w:rsidR="00307781" w:rsidRDefault="00743576">
      <w:pPr>
        <w:spacing w:before="0" w:after="0" w:line="276" w:lineRule="auto"/>
        <w:ind w:left="284" w:hanging="284"/>
        <w:rPr>
          <w:rFonts w:eastAsia="Times New Roman"/>
          <w:sz w:val="18"/>
          <w:szCs w:val="18"/>
        </w:rPr>
      </w:pPr>
      <w:r>
        <w:rPr>
          <w:rFonts w:eastAsia="Times New Roman"/>
          <w:sz w:val="18"/>
          <w:szCs w:val="18"/>
        </w:rPr>
        <w:t>34.</w:t>
      </w:r>
      <w:r>
        <w:rPr>
          <w:sz w:val="18"/>
          <w:szCs w:val="18"/>
        </w:rPr>
        <w:t xml:space="preserve"> </w:t>
      </w:r>
      <w:r>
        <w:rPr>
          <w:rFonts w:eastAsia="Times New Roman"/>
          <w:sz w:val="18"/>
          <w:szCs w:val="18"/>
        </w:rPr>
        <w:t>Über der Stelle befindet sich heute die Bus- und Tramhaltestel</w:t>
      </w:r>
      <w:r>
        <w:rPr>
          <w:rFonts w:eastAsia="Times New Roman"/>
          <w:sz w:val="18"/>
          <w:szCs w:val="18"/>
        </w:rPr>
        <w:softHyphen/>
        <w:t xml:space="preserve">le </w:t>
      </w:r>
      <w:r>
        <w:rPr>
          <w:rFonts w:eastAsia="Times New Roman"/>
          <w:i/>
          <w:iCs/>
          <w:sz w:val="18"/>
          <w:szCs w:val="18"/>
        </w:rPr>
        <w:t>Largo di Torre Argentina</w:t>
      </w:r>
      <w:r>
        <w:rPr>
          <w:rFonts w:eastAsia="Times New Roman"/>
          <w:sz w:val="18"/>
          <w:szCs w:val="18"/>
        </w:rPr>
        <w:t>, an der gelegentlich immer noch frische Blumen im Gedenken an Caesar niedergelegt werden!</w:t>
      </w:r>
    </w:p>
    <w:p w:rsidR="00307781" w:rsidRDefault="00743576">
      <w:pPr>
        <w:spacing w:before="0" w:after="0" w:line="276" w:lineRule="auto"/>
        <w:ind w:left="284" w:hanging="284"/>
        <w:rPr>
          <w:rFonts w:eastAsia="Times New Roman"/>
          <w:sz w:val="18"/>
          <w:szCs w:val="18"/>
        </w:rPr>
      </w:pPr>
      <w:r>
        <w:rPr>
          <w:rFonts w:eastAsia="Times New Roman"/>
          <w:sz w:val="18"/>
          <w:szCs w:val="18"/>
        </w:rPr>
        <w:t>35. Agustín veweist im vierten seiner Dialoge über antike Inschrif-ten und Münzen kurz darauf, dass die Künstler unter den da</w:t>
      </w:r>
      <w:r>
        <w:rPr>
          <w:rFonts w:eastAsia="Times New Roman"/>
          <w:sz w:val="18"/>
          <w:szCs w:val="18"/>
        </w:rPr>
        <w:softHyphen/>
        <w:t>mals in Rom forschenden «Antiquaren» aufgrund ihrer Ausbil</w:t>
      </w:r>
      <w:r>
        <w:rPr>
          <w:rFonts w:eastAsia="Times New Roman"/>
          <w:sz w:val="18"/>
          <w:szCs w:val="18"/>
        </w:rPr>
        <w:softHyphen/>
        <w:t>dung vieles genauer identifizieren und deuten konnten, als an</w:t>
      </w:r>
      <w:r>
        <w:rPr>
          <w:rFonts w:eastAsia="Times New Roman"/>
          <w:sz w:val="18"/>
          <w:szCs w:val="18"/>
        </w:rPr>
        <w:softHyphen/>
        <w:t>dere Gelehrte, auf deren Werke sie sich aber bei ihrer Interpre</w:t>
      </w:r>
      <w:r>
        <w:rPr>
          <w:rFonts w:eastAsia="Times New Roman"/>
          <w:sz w:val="18"/>
          <w:szCs w:val="18"/>
        </w:rPr>
        <w:softHyphen/>
        <w:t>tation stützen konnten: spanisches Original in Agustín 1587, S. 132; ins Italienische übersetzt in Agustín 1592.1, S. 117, bzw. Agustín 1592.2, S. 66. Diese Stelle wurde von Mandowsky/ Mitchell 1963 so falsch übersetzt, dass sie in der Tendenz als Abwertung, gar Verhöhnung der ungebildeten Künstler miss</w:t>
      </w:r>
      <w:r>
        <w:rPr>
          <w:rFonts w:eastAsia="Times New Roman"/>
          <w:sz w:val="18"/>
          <w:szCs w:val="18"/>
        </w:rPr>
        <w:softHyphen/>
        <w:t>verstanden werden konnte. Sie fügten ihrer «Übersetzung» so</w:t>
      </w:r>
      <w:r>
        <w:rPr>
          <w:rFonts w:eastAsia="Times New Roman"/>
          <w:sz w:val="18"/>
          <w:szCs w:val="18"/>
        </w:rPr>
        <w:softHyphen/>
        <w:t>gar einen entsprechend tendenziösen Satz an, den es weder im Original noch den italienische Übersetzungen gibt. Aber da ge</w:t>
      </w:r>
      <w:r>
        <w:rPr>
          <w:rFonts w:eastAsia="Times New Roman"/>
          <w:sz w:val="18"/>
          <w:szCs w:val="18"/>
        </w:rPr>
        <w:softHyphen/>
        <w:t>nau diese «Übersetzung» von der Forschung immer wieder be</w:t>
      </w:r>
      <w:r>
        <w:rPr>
          <w:rFonts w:eastAsia="Times New Roman"/>
          <w:sz w:val="18"/>
          <w:szCs w:val="18"/>
        </w:rPr>
        <w:softHyphen/>
        <w:t>nutzt worden ist, konnte sich der Eindruck verfestigen, Gelehr</w:t>
      </w:r>
      <w:r>
        <w:rPr>
          <w:rFonts w:eastAsia="Times New Roman"/>
          <w:sz w:val="18"/>
          <w:szCs w:val="18"/>
        </w:rPr>
        <w:softHyphen/>
        <w:t xml:space="preserve">te wie Agustín, die Latein und Griechisch verstanden, hätten auf die «Künstlern» abschätzig herabgesehen und sie nicht ernst genommen, obwohl gerade Agustíns Wertschätzung bspw. für Ligorio von ihm mehrfach deutlich formuliert wird! Er hätte ansonsten auch wohl kaum Strada die Publikation der fertigen Bücher des zögerlichen Panvinio anvertraut. Die dabei entstandenen Fehler, </w:t>
      </w:r>
      <w:r>
        <w:rPr>
          <w:rFonts w:eastAsia="Times New Roman"/>
          <w:sz w:val="18"/>
          <w:szCs w:val="18"/>
        </w:rPr>
        <w:lastRenderedPageBreak/>
        <w:t xml:space="preserve">die den Verfasser erzürnten, lassen sich aber mit hoher Wahrscheinlichkeit auf den Drucker und also weniger auf Strada zurück führen.36. Lafrérys </w:t>
      </w:r>
      <w:r>
        <w:rPr>
          <w:rFonts w:eastAsia="Times New Roman"/>
          <w:i/>
          <w:sz w:val="18"/>
          <w:szCs w:val="18"/>
        </w:rPr>
        <w:t>Speculum Ro</w:t>
      </w:r>
      <w:r>
        <w:rPr>
          <w:rFonts w:eastAsia="Times New Roman"/>
          <w:i/>
          <w:sz w:val="18"/>
          <w:szCs w:val="18"/>
        </w:rPr>
        <w:softHyphen/>
        <w:t xml:space="preserve">manæ Magnificentiæ </w:t>
      </w:r>
      <w:r>
        <w:rPr>
          <w:rFonts w:eastAsia="Times New Roman"/>
          <w:sz w:val="18"/>
          <w:szCs w:val="18"/>
        </w:rPr>
        <w:t>erschien ab 1575 als fortlaufende Stich-serie, die in hunderten Einzelblättern die bedeutendsten Kunst-denkmäler und Monumente Roms präsentierte. Allerdings scheint Lafréry keine der vielen Zeichnungen der Akademiker verwendet zu haben – vielleicht weil sie zu genau und ausführ-lich waren, um sich in marktgängige Stiche umsetzen zu las</w:t>
      </w:r>
      <w:r>
        <w:rPr>
          <w:rFonts w:eastAsia="Times New Roman"/>
          <w:sz w:val="18"/>
          <w:szCs w:val="18"/>
        </w:rPr>
        <w:softHyphen/>
        <w:t>sen.</w:t>
      </w:r>
    </w:p>
    <w:p w:rsidR="00307781" w:rsidRDefault="00743576">
      <w:pPr>
        <w:pStyle w:val="bibitem"/>
        <w:spacing w:line="276" w:lineRule="auto"/>
        <w:ind w:left="0" w:firstLine="0"/>
      </w:pPr>
      <w:r>
        <w:rPr>
          <w:rStyle w:val="biblabel"/>
          <w:b/>
          <w:sz w:val="18"/>
          <w:szCs w:val="18"/>
        </w:rPr>
        <w:t>Literaturverzeichnis</w:t>
      </w:r>
    </w:p>
    <w:p w:rsidR="00307781" w:rsidRDefault="00307781">
      <w:pPr>
        <w:pStyle w:val="bibitem"/>
        <w:spacing w:line="276" w:lineRule="auto"/>
        <w:ind w:left="284" w:hanging="284"/>
        <w:rPr>
          <w:rStyle w:val="biblabel"/>
          <w:sz w:val="18"/>
          <w:szCs w:val="18"/>
        </w:rPr>
      </w:pPr>
    </w:p>
    <w:p w:rsidR="00307781" w:rsidRDefault="00743576">
      <w:pPr>
        <w:pStyle w:val="bibitem"/>
        <w:spacing w:line="276" w:lineRule="auto"/>
        <w:ind w:left="284" w:hanging="284"/>
        <w:rPr>
          <w:sz w:val="18"/>
          <w:szCs w:val="18"/>
        </w:rPr>
      </w:pPr>
      <w:r>
        <w:rPr>
          <w:rStyle w:val="biblabel"/>
          <w:sz w:val="18"/>
          <w:szCs w:val="18"/>
        </w:rPr>
        <w:t xml:space="preserve">Agustín 1587 = </w:t>
      </w:r>
      <w:r>
        <w:rPr>
          <w:sz w:val="18"/>
          <w:szCs w:val="18"/>
        </w:rPr>
        <w:t>Agustín, Antonio: Dialogos de medallas, inscricio</w:t>
      </w:r>
      <w:r>
        <w:rPr>
          <w:sz w:val="18"/>
          <w:szCs w:val="18"/>
        </w:rPr>
        <w:softHyphen/>
        <w:t xml:space="preserve">nes y otras antiguedades. – Madrid: Felipe Mei, 1587. </w:t>
      </w:r>
    </w:p>
    <w:p w:rsidR="00307781" w:rsidRDefault="00743576">
      <w:pPr>
        <w:pStyle w:val="bibitem"/>
        <w:spacing w:line="276" w:lineRule="auto"/>
        <w:ind w:left="284" w:hanging="284"/>
        <w:rPr>
          <w:sz w:val="18"/>
          <w:szCs w:val="18"/>
        </w:rPr>
      </w:pPr>
      <w:r>
        <w:rPr>
          <w:rStyle w:val="biblabel"/>
          <w:sz w:val="18"/>
          <w:szCs w:val="18"/>
        </w:rPr>
        <w:t xml:space="preserve">Agustín 1592.1 = </w:t>
      </w:r>
      <w:r>
        <w:rPr>
          <w:sz w:val="18"/>
          <w:szCs w:val="18"/>
        </w:rPr>
        <w:t>Agustín, Antonio: Dialoghi di Don Antonio Agostini […] intorno alle medaglie, inscrittioni et altre anti</w:t>
      </w:r>
      <w:r>
        <w:rPr>
          <w:sz w:val="18"/>
          <w:szCs w:val="18"/>
        </w:rPr>
        <w:softHyphen/>
        <w:t xml:space="preserve">chità. – Roma: Guielmo Faciotto, 1592. </w:t>
      </w:r>
    </w:p>
    <w:p w:rsidR="00307781" w:rsidRDefault="00743576">
      <w:pPr>
        <w:pStyle w:val="bibitem"/>
        <w:spacing w:line="276" w:lineRule="auto"/>
        <w:ind w:left="284" w:hanging="284"/>
        <w:rPr>
          <w:sz w:val="18"/>
          <w:szCs w:val="18"/>
        </w:rPr>
      </w:pPr>
      <w:r>
        <w:rPr>
          <w:rStyle w:val="biblabel"/>
          <w:sz w:val="18"/>
          <w:szCs w:val="18"/>
        </w:rPr>
        <w:t xml:space="preserve">Agustín 1592.2 = </w:t>
      </w:r>
      <w:r>
        <w:rPr>
          <w:sz w:val="18"/>
          <w:szCs w:val="18"/>
        </w:rPr>
        <w:t>Agustín, Antonio: Discorsi del S. Antonio Agos</w:t>
      </w:r>
      <w:r>
        <w:rPr>
          <w:sz w:val="18"/>
          <w:szCs w:val="18"/>
        </w:rPr>
        <w:softHyphen/>
        <w:t>tini sopra le medaglie et altre anticaglie … Rom: Donangenli, 1592.</w:t>
      </w:r>
    </w:p>
    <w:p w:rsidR="00307781" w:rsidRDefault="00743576">
      <w:pPr>
        <w:pStyle w:val="bibitem"/>
        <w:spacing w:line="276" w:lineRule="auto"/>
        <w:ind w:left="284" w:hanging="284"/>
        <w:rPr>
          <w:sz w:val="18"/>
          <w:szCs w:val="18"/>
        </w:rPr>
      </w:pPr>
      <w:r>
        <w:rPr>
          <w:rStyle w:val="biblabel"/>
          <w:sz w:val="18"/>
          <w:szCs w:val="18"/>
        </w:rPr>
        <w:t xml:space="preserve">Apianus/Amantius 1534 = </w:t>
      </w:r>
      <w:r>
        <w:rPr>
          <w:sz w:val="18"/>
          <w:szCs w:val="18"/>
        </w:rPr>
        <w:t>Apianus, Petrus; Amantius, Bartholo-mäus: Inscriptiones sacrosanctae vetustatis. – Ingolstadt: Apia</w:t>
      </w:r>
      <w:r>
        <w:rPr>
          <w:sz w:val="18"/>
          <w:szCs w:val="18"/>
        </w:rPr>
        <w:softHyphen/>
        <w:t xml:space="preserve">nus, 1534. </w:t>
      </w:r>
    </w:p>
    <w:p w:rsidR="00307781" w:rsidRDefault="00743576">
      <w:pPr>
        <w:pStyle w:val="bibitem"/>
        <w:spacing w:line="276" w:lineRule="auto"/>
        <w:ind w:left="284" w:hanging="284"/>
        <w:rPr>
          <w:sz w:val="18"/>
          <w:szCs w:val="18"/>
        </w:rPr>
      </w:pPr>
      <w:r>
        <w:rPr>
          <w:rStyle w:val="biblabel"/>
          <w:sz w:val="18"/>
          <w:szCs w:val="18"/>
        </w:rPr>
        <w:t>Apollodorus/Egio 1555</w:t>
      </w:r>
      <w:r>
        <w:rPr>
          <w:rStyle w:val="bibsp"/>
          <w:sz w:val="18"/>
          <w:szCs w:val="18"/>
        </w:rPr>
        <w:t xml:space="preserve"> = </w:t>
      </w:r>
      <w:r>
        <w:rPr>
          <w:sz w:val="18"/>
          <w:szCs w:val="18"/>
        </w:rPr>
        <w:t xml:space="preserve">[Pseudo-]Apollodorus von Athen; Egio, Benedetto (Hg./Übers.): Apollodori Atheniensis Bibliotheces. – Rom: Blado, 1555. </w:t>
      </w:r>
    </w:p>
    <w:p w:rsidR="00307781" w:rsidRDefault="00743576">
      <w:pPr>
        <w:pStyle w:val="bibitem"/>
        <w:spacing w:line="276" w:lineRule="auto"/>
        <w:ind w:left="284" w:hanging="284"/>
        <w:rPr>
          <w:sz w:val="18"/>
          <w:szCs w:val="18"/>
        </w:rPr>
      </w:pPr>
      <w:r>
        <w:rPr>
          <w:rStyle w:val="biblabel"/>
          <w:sz w:val="18"/>
          <w:szCs w:val="18"/>
        </w:rPr>
        <w:t xml:space="preserve">Apollodorus/Egio 1565 = </w:t>
      </w:r>
      <w:r>
        <w:rPr>
          <w:sz w:val="18"/>
          <w:szCs w:val="18"/>
        </w:rPr>
        <w:t xml:space="preserve">[Pseudo-]Apollodorus von Athen; Egio, Benedetto (Hg./Übers.): Apollodori Atheniensis Bibliotheces. – Antwerpen: Ex officina Gulielmi Silvij, 1565. </w:t>
      </w:r>
    </w:p>
    <w:p w:rsidR="00307781" w:rsidRDefault="00743576">
      <w:pPr>
        <w:pStyle w:val="bibitem"/>
        <w:spacing w:line="276" w:lineRule="auto"/>
        <w:ind w:left="284" w:hanging="284"/>
        <w:rPr>
          <w:sz w:val="18"/>
          <w:szCs w:val="18"/>
        </w:rPr>
      </w:pPr>
      <w:r>
        <w:rPr>
          <w:rStyle w:val="biblabel"/>
          <w:sz w:val="18"/>
          <w:szCs w:val="18"/>
        </w:rPr>
        <w:t xml:space="preserve">Atanagi 1565 = </w:t>
      </w:r>
      <w:r>
        <w:rPr>
          <w:rStyle w:val="pplr8t-x-x-901"/>
          <w:sz w:val="18"/>
          <w:szCs w:val="18"/>
        </w:rPr>
        <w:t>Atanagi, Dionigi: De le rime di</w:t>
      </w:r>
      <w:r>
        <w:rPr>
          <w:sz w:val="18"/>
          <w:szCs w:val="18"/>
        </w:rPr>
        <w:t xml:space="preserve"> </w:t>
      </w:r>
      <w:r>
        <w:rPr>
          <w:rStyle w:val="pplr8t-x-x-901"/>
          <w:sz w:val="18"/>
          <w:szCs w:val="18"/>
        </w:rPr>
        <w:t>diversi nobili poeti toscani. – 2 Bde. –</w:t>
      </w:r>
      <w:r>
        <w:rPr>
          <w:sz w:val="18"/>
          <w:szCs w:val="18"/>
        </w:rPr>
        <w:t xml:space="preserve"> </w:t>
      </w:r>
      <w:r>
        <w:rPr>
          <w:rStyle w:val="pplr8t-x-x-901"/>
          <w:sz w:val="18"/>
          <w:szCs w:val="18"/>
        </w:rPr>
        <w:t>Venezia: Lodovico Avanzo, 1565.</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Daly Davis 1994 = Daly Davis, Margaret:</w:t>
      </w:r>
      <w:r>
        <w:rPr>
          <w:sz w:val="18"/>
          <w:szCs w:val="18"/>
        </w:rPr>
        <w:t xml:space="preserve"> </w:t>
      </w:r>
      <w:r>
        <w:rPr>
          <w:rStyle w:val="pplr8t-x-x-901"/>
          <w:sz w:val="18"/>
          <w:szCs w:val="18"/>
        </w:rPr>
        <w:t>Wissenschaftliche</w:t>
      </w:r>
      <w:r>
        <w:rPr>
          <w:sz w:val="18"/>
          <w:szCs w:val="18"/>
        </w:rPr>
        <w:t xml:space="preserve"> </w:t>
      </w:r>
      <w:r>
        <w:rPr>
          <w:rStyle w:val="pplr8t-x-x-901"/>
          <w:sz w:val="18"/>
          <w:szCs w:val="18"/>
        </w:rPr>
        <w:t>Bear</w:t>
      </w:r>
      <w:r>
        <w:rPr>
          <w:rStyle w:val="pplr8t-x-x-901"/>
          <w:sz w:val="18"/>
          <w:szCs w:val="18"/>
        </w:rPr>
        <w:softHyphen/>
        <w:t>beitung und Entwicklung einer</w:t>
      </w:r>
      <w:r>
        <w:rPr>
          <w:sz w:val="18"/>
          <w:szCs w:val="18"/>
        </w:rPr>
        <w:t xml:space="preserve"> </w:t>
      </w:r>
      <w:r>
        <w:rPr>
          <w:rStyle w:val="pplr8t-x-x-901"/>
          <w:sz w:val="18"/>
          <w:szCs w:val="18"/>
        </w:rPr>
        <w:t>Systematik: Archäologische</w:t>
      </w:r>
      <w:r>
        <w:rPr>
          <w:sz w:val="18"/>
          <w:szCs w:val="18"/>
        </w:rPr>
        <w:t xml:space="preserve"> </w:t>
      </w:r>
      <w:r>
        <w:rPr>
          <w:rStyle w:val="pplr8t-x-x-901"/>
          <w:sz w:val="18"/>
          <w:szCs w:val="18"/>
        </w:rPr>
        <w:t>und antiquarische Studien antiker</w:t>
      </w:r>
      <w:r>
        <w:rPr>
          <w:sz w:val="18"/>
          <w:szCs w:val="18"/>
        </w:rPr>
        <w:t xml:space="preserve"> </w:t>
      </w:r>
      <w:r>
        <w:rPr>
          <w:rStyle w:val="pplr8t-x-x-901"/>
          <w:sz w:val="18"/>
          <w:szCs w:val="18"/>
        </w:rPr>
        <w:t>Reste inder Accademia Vi</w:t>
      </w:r>
      <w:r>
        <w:rPr>
          <w:rStyle w:val="pplr8t-x-x-901"/>
          <w:sz w:val="18"/>
          <w:szCs w:val="18"/>
        </w:rPr>
        <w:softHyphen/>
        <w:t>truviana in</w:t>
      </w:r>
      <w:r>
        <w:rPr>
          <w:sz w:val="18"/>
          <w:szCs w:val="18"/>
        </w:rPr>
        <w:t xml:space="preserve"> </w:t>
      </w:r>
      <w:r>
        <w:rPr>
          <w:rStyle w:val="pplr8t-x-x-901"/>
          <w:sz w:val="18"/>
          <w:szCs w:val="18"/>
        </w:rPr>
        <w:t>Rom (Einleitung). – In: Daly Davis,</w:t>
      </w:r>
      <w:r>
        <w:rPr>
          <w:sz w:val="18"/>
          <w:szCs w:val="18"/>
        </w:rPr>
        <w:t xml:space="preserve"> </w:t>
      </w:r>
      <w:r>
        <w:rPr>
          <w:rStyle w:val="pplr8t-x-x-901"/>
          <w:sz w:val="18"/>
          <w:szCs w:val="18"/>
        </w:rPr>
        <w:t>Margaret (Bearb./Hrsg.): Archäologie</w:t>
      </w:r>
      <w:r>
        <w:rPr>
          <w:sz w:val="18"/>
          <w:szCs w:val="18"/>
        </w:rPr>
        <w:t xml:space="preserve"> </w:t>
      </w:r>
      <w:r>
        <w:rPr>
          <w:rStyle w:val="pplr8t-x-x-901"/>
          <w:sz w:val="18"/>
          <w:szCs w:val="18"/>
        </w:rPr>
        <w:t>der Antike: aus den Beständen der</w:t>
      </w:r>
      <w:r>
        <w:rPr>
          <w:sz w:val="18"/>
          <w:szCs w:val="18"/>
        </w:rPr>
        <w:t xml:space="preserve"> </w:t>
      </w:r>
      <w:r>
        <w:rPr>
          <w:rStyle w:val="pplr8t-x-x-901"/>
          <w:sz w:val="18"/>
          <w:szCs w:val="18"/>
        </w:rPr>
        <w:t>Herzog-August-Bibliothek</w:t>
      </w:r>
      <w:r>
        <w:rPr>
          <w:sz w:val="18"/>
          <w:szCs w:val="18"/>
        </w:rPr>
        <w:t xml:space="preserve"> </w:t>
      </w:r>
      <w:r>
        <w:rPr>
          <w:rStyle w:val="pplr8t-x-x-901"/>
          <w:sz w:val="18"/>
          <w:szCs w:val="18"/>
        </w:rPr>
        <w:t>/ Ausstellungskata-log. – Wiesba</w:t>
      </w:r>
      <w:r>
        <w:rPr>
          <w:rStyle w:val="pplr8t-x-x-901"/>
          <w:sz w:val="18"/>
          <w:szCs w:val="18"/>
        </w:rPr>
        <w:softHyphen/>
        <w:t>den:</w:t>
      </w:r>
      <w:r>
        <w:rPr>
          <w:sz w:val="18"/>
          <w:szCs w:val="18"/>
        </w:rPr>
        <w:t xml:space="preserve"> </w:t>
      </w:r>
      <w:r>
        <w:rPr>
          <w:rStyle w:val="pplr8t-x-x-901"/>
          <w:sz w:val="18"/>
          <w:szCs w:val="18"/>
        </w:rPr>
        <w:t xml:space="preserve">1994 (= </w:t>
      </w:r>
      <w:r>
        <w:rPr>
          <w:rStyle w:val="pplr8t-x-x-901"/>
          <w:sz w:val="18"/>
          <w:szCs w:val="18"/>
        </w:rPr>
        <w:lastRenderedPageBreak/>
        <w:t>Ausstellungskataloge</w:t>
      </w:r>
      <w:r>
        <w:rPr>
          <w:sz w:val="18"/>
          <w:szCs w:val="18"/>
        </w:rPr>
        <w:t xml:space="preserve"> </w:t>
      </w:r>
      <w:r>
        <w:rPr>
          <w:rStyle w:val="pplr8t-x-x-901"/>
          <w:sz w:val="18"/>
          <w:szCs w:val="18"/>
        </w:rPr>
        <w:t>der Herzog August Biblio</w:t>
      </w:r>
      <w:r>
        <w:rPr>
          <w:rStyle w:val="pplr8t-x-x-901"/>
          <w:sz w:val="18"/>
          <w:szCs w:val="18"/>
        </w:rPr>
        <w:softHyphen/>
        <w:t>thek; Nr. 71),</w:t>
      </w:r>
      <w:r>
        <w:rPr>
          <w:sz w:val="18"/>
          <w:szCs w:val="18"/>
        </w:rPr>
        <w:t xml:space="preserve"> </w:t>
      </w:r>
      <w:r>
        <w:rPr>
          <w:rStyle w:val="pplr8t-x-x-901"/>
          <w:sz w:val="18"/>
          <w:szCs w:val="18"/>
        </w:rPr>
        <w:t>S. 11–19 S. 11–19.</w:t>
      </w:r>
      <w:r>
        <w:rPr>
          <w:sz w:val="18"/>
          <w:szCs w:val="18"/>
        </w:rPr>
        <w:t xml:space="preserve"> </w:t>
      </w:r>
    </w:p>
    <w:p w:rsidR="00307781" w:rsidRDefault="00743576">
      <w:pPr>
        <w:pStyle w:val="bibitem"/>
        <w:spacing w:line="276" w:lineRule="auto"/>
        <w:ind w:left="284" w:hanging="284"/>
        <w:rPr>
          <w:sz w:val="18"/>
          <w:szCs w:val="18"/>
        </w:rPr>
      </w:pPr>
      <w:r>
        <w:rPr>
          <w:rStyle w:val="biblabel"/>
          <w:sz w:val="18"/>
          <w:szCs w:val="18"/>
        </w:rPr>
        <w:t xml:space="preserve">De L’Orme 1567 = </w:t>
      </w:r>
      <w:r>
        <w:rPr>
          <w:sz w:val="18"/>
          <w:szCs w:val="18"/>
        </w:rPr>
        <w:t>De L’Orme, Philibert: Le premier tome d’ar</w:t>
      </w:r>
      <w:r>
        <w:rPr>
          <w:sz w:val="18"/>
          <w:szCs w:val="18"/>
        </w:rPr>
        <w:softHyphen/>
        <w:t xml:space="preserve">chitecture. – Paris: F. Morel, 1567. </w:t>
      </w:r>
    </w:p>
    <w:p w:rsidR="00307781" w:rsidRDefault="00743576">
      <w:pPr>
        <w:pStyle w:val="bibitem"/>
        <w:spacing w:line="276" w:lineRule="auto"/>
        <w:ind w:left="284" w:hanging="284"/>
        <w:rPr>
          <w:sz w:val="18"/>
          <w:szCs w:val="18"/>
        </w:rPr>
      </w:pPr>
      <w:r>
        <w:rPr>
          <w:rStyle w:val="pplr8t-x-x-901"/>
          <w:sz w:val="18"/>
          <w:szCs w:val="18"/>
        </w:rPr>
        <w:t>Du Choul 1556 = Du Choul, Guillaum: Discovrs de</w:t>
      </w:r>
      <w:r>
        <w:rPr>
          <w:sz w:val="18"/>
          <w:szCs w:val="18"/>
        </w:rPr>
        <w:t xml:space="preserve"> </w:t>
      </w:r>
      <w:r>
        <w:rPr>
          <w:rStyle w:val="pplr8t-x-x-901"/>
          <w:sz w:val="18"/>
          <w:szCs w:val="18"/>
        </w:rPr>
        <w:t>la Religion des Anciens Romains. –</w:t>
      </w:r>
      <w:r>
        <w:rPr>
          <w:sz w:val="18"/>
          <w:szCs w:val="18"/>
        </w:rPr>
        <w:t xml:space="preserve"> </w:t>
      </w:r>
      <w:r>
        <w:rPr>
          <w:rStyle w:val="pplr8t-x-x-901"/>
          <w:sz w:val="18"/>
          <w:szCs w:val="18"/>
        </w:rPr>
        <w:t>Lyon: Guillaume Rouille, 1556.</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Garimberto 1544 = Garimberto, Girolamo: De</w:t>
      </w:r>
      <w:r>
        <w:rPr>
          <w:sz w:val="18"/>
          <w:szCs w:val="18"/>
        </w:rPr>
        <w:t xml:space="preserve"> </w:t>
      </w:r>
      <w:r>
        <w:rPr>
          <w:rStyle w:val="pplr8t-x-x-901"/>
          <w:sz w:val="18"/>
          <w:szCs w:val="18"/>
        </w:rPr>
        <w:t>regimenti publici de la città. – Venezia:</w:t>
      </w:r>
      <w:r>
        <w:rPr>
          <w:sz w:val="18"/>
          <w:szCs w:val="18"/>
        </w:rPr>
        <w:t xml:space="preserve"> </w:t>
      </w:r>
      <w:r>
        <w:rPr>
          <w:rStyle w:val="pplr8t-x-x-901"/>
          <w:sz w:val="18"/>
          <w:szCs w:val="18"/>
        </w:rPr>
        <w:t>Girolamo Scoto, 1544.</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Harprath/Wrede 1986 = Harprath, Richard; Wrede, Henning</w:t>
      </w:r>
      <w:r>
        <w:rPr>
          <w:sz w:val="18"/>
          <w:szCs w:val="18"/>
        </w:rPr>
        <w:t xml:space="preserve"> </w:t>
      </w:r>
      <w:r>
        <w:rPr>
          <w:rStyle w:val="pplr8t-x-x-901"/>
          <w:sz w:val="18"/>
          <w:szCs w:val="18"/>
        </w:rPr>
        <w:t>(Hg.): Der Codex Coburgensis: Das</w:t>
      </w:r>
      <w:r>
        <w:rPr>
          <w:sz w:val="18"/>
          <w:szCs w:val="18"/>
        </w:rPr>
        <w:t xml:space="preserve"> </w:t>
      </w:r>
      <w:r>
        <w:rPr>
          <w:rStyle w:val="pplr8t-x-x-901"/>
          <w:sz w:val="18"/>
          <w:szCs w:val="18"/>
        </w:rPr>
        <w:t>erste systematische Archäologie</w:t>
      </w:r>
      <w:r>
        <w:rPr>
          <w:rStyle w:val="pplr8t-x-x-901"/>
          <w:sz w:val="18"/>
          <w:szCs w:val="18"/>
        </w:rPr>
        <w:softHyphen/>
        <w:t>buch –</w:t>
      </w:r>
      <w:r>
        <w:rPr>
          <w:sz w:val="18"/>
          <w:szCs w:val="18"/>
        </w:rPr>
        <w:t xml:space="preserve"> </w:t>
      </w:r>
      <w:r>
        <w:rPr>
          <w:rStyle w:val="pplr8t-x-x-901"/>
          <w:sz w:val="18"/>
          <w:szCs w:val="18"/>
        </w:rPr>
        <w:t>Römische Antiken-Nachzeichnungen</w:t>
      </w:r>
      <w:r>
        <w:rPr>
          <w:sz w:val="18"/>
          <w:szCs w:val="18"/>
        </w:rPr>
        <w:t xml:space="preserve"> </w:t>
      </w:r>
      <w:r>
        <w:rPr>
          <w:rStyle w:val="pplr8t-x-x-901"/>
          <w:sz w:val="18"/>
          <w:szCs w:val="18"/>
        </w:rPr>
        <w:t>aus der Mitte des 16. Jahrhunderts.</w:t>
      </w:r>
      <w:r>
        <w:rPr>
          <w:sz w:val="18"/>
          <w:szCs w:val="18"/>
        </w:rPr>
        <w:t xml:space="preserve"> </w:t>
      </w:r>
      <w:r>
        <w:rPr>
          <w:rStyle w:val="pplr8t-x-x-901"/>
          <w:sz w:val="18"/>
          <w:szCs w:val="18"/>
        </w:rPr>
        <w:t>Coburg: 1986.</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Harprath/Wrede 1989 = Harprath, Richard; Wrede,</w:t>
      </w:r>
      <w:r>
        <w:rPr>
          <w:sz w:val="18"/>
          <w:szCs w:val="18"/>
        </w:rPr>
        <w:t xml:space="preserve"> </w:t>
      </w:r>
      <w:r>
        <w:rPr>
          <w:rStyle w:val="pplr8t-x-x-901"/>
          <w:sz w:val="18"/>
          <w:szCs w:val="18"/>
        </w:rPr>
        <w:t>Henning (Hg.): Antikenzeichnung</w:t>
      </w:r>
      <w:r>
        <w:rPr>
          <w:sz w:val="18"/>
          <w:szCs w:val="18"/>
        </w:rPr>
        <w:t xml:space="preserve"> </w:t>
      </w:r>
      <w:r>
        <w:rPr>
          <w:rStyle w:val="pplr8t-x-x-901"/>
          <w:sz w:val="18"/>
          <w:szCs w:val="18"/>
        </w:rPr>
        <w:t>und Antikenstudium in</w:t>
      </w:r>
      <w:r>
        <w:rPr>
          <w:sz w:val="18"/>
          <w:szCs w:val="18"/>
        </w:rPr>
        <w:t xml:space="preserve"> </w:t>
      </w:r>
      <w:r>
        <w:rPr>
          <w:rStyle w:val="pplr8t-x-x-901"/>
          <w:sz w:val="18"/>
          <w:szCs w:val="18"/>
        </w:rPr>
        <w:t>Renaissance und Frühbarock – Akten</w:t>
      </w:r>
      <w:r>
        <w:rPr>
          <w:sz w:val="18"/>
          <w:szCs w:val="18"/>
        </w:rPr>
        <w:t xml:space="preserve"> </w:t>
      </w:r>
      <w:r>
        <w:rPr>
          <w:rStyle w:val="pplr8t-x-x-901"/>
          <w:sz w:val="18"/>
          <w:szCs w:val="18"/>
        </w:rPr>
        <w:t>des Internationalen</w:t>
      </w:r>
      <w:r>
        <w:rPr>
          <w:sz w:val="18"/>
          <w:szCs w:val="18"/>
        </w:rPr>
        <w:t xml:space="preserve"> </w:t>
      </w:r>
      <w:r>
        <w:rPr>
          <w:rStyle w:val="pplr8t-x-x-901"/>
          <w:sz w:val="18"/>
          <w:szCs w:val="18"/>
        </w:rPr>
        <w:t>Symposiums 8.–10. September 1986 in</w:t>
      </w:r>
      <w:r>
        <w:rPr>
          <w:sz w:val="18"/>
          <w:szCs w:val="18"/>
        </w:rPr>
        <w:t xml:space="preserve"> </w:t>
      </w:r>
      <w:r>
        <w:rPr>
          <w:rStyle w:val="pplr8t-x-x-901"/>
          <w:sz w:val="18"/>
          <w:szCs w:val="18"/>
        </w:rPr>
        <w:t>Coburg. – Mainz: 1989.</w:t>
      </w:r>
    </w:p>
    <w:p w:rsidR="00307781" w:rsidRDefault="00743576">
      <w:pPr>
        <w:pStyle w:val="bibitem"/>
        <w:spacing w:line="276" w:lineRule="auto"/>
        <w:ind w:left="284" w:hanging="284"/>
        <w:rPr>
          <w:sz w:val="18"/>
          <w:szCs w:val="18"/>
        </w:rPr>
      </w:pPr>
      <w:r>
        <w:rPr>
          <w:sz w:val="18"/>
          <w:szCs w:val="18"/>
        </w:rPr>
        <w:t>Heuser 2003 = Heuser, Peter Arnold: Jean Matal. Humanistischer Jurist und europäischer Friedensdenker (um 1517–1597). – Köln; Weimar: Böhlau, 2003.</w:t>
      </w:r>
    </w:p>
    <w:p w:rsidR="00307781" w:rsidRDefault="00743576">
      <w:pPr>
        <w:pStyle w:val="bibitem"/>
        <w:spacing w:line="276" w:lineRule="auto"/>
        <w:ind w:left="284" w:hanging="284"/>
        <w:rPr>
          <w:sz w:val="18"/>
          <w:szCs w:val="18"/>
        </w:rPr>
      </w:pPr>
      <w:r>
        <w:rPr>
          <w:rStyle w:val="pplr8t-x-x-901"/>
          <w:sz w:val="18"/>
          <w:szCs w:val="18"/>
        </w:rPr>
        <w:t>Jansen 2015 = Jansen, Dirk Jacob: Urbanissime</w:t>
      </w:r>
      <w:r>
        <w:rPr>
          <w:sz w:val="18"/>
          <w:szCs w:val="18"/>
        </w:rPr>
        <w:t xml:space="preserve"> </w:t>
      </w:r>
      <w:r>
        <w:rPr>
          <w:rStyle w:val="pplr8t-x-x-901"/>
          <w:sz w:val="18"/>
          <w:szCs w:val="18"/>
        </w:rPr>
        <w:t>Strada. Jacopo Strada and Cultural</w:t>
      </w:r>
      <w:r>
        <w:rPr>
          <w:sz w:val="18"/>
          <w:szCs w:val="18"/>
        </w:rPr>
        <w:t xml:space="preserve"> </w:t>
      </w:r>
      <w:r>
        <w:rPr>
          <w:rStyle w:val="pplr8t-x-x-901"/>
          <w:sz w:val="18"/>
          <w:szCs w:val="18"/>
        </w:rPr>
        <w:t>Patronage at the Imperial Court. –</w:t>
      </w:r>
      <w:r>
        <w:rPr>
          <w:sz w:val="18"/>
          <w:szCs w:val="18"/>
        </w:rPr>
        <w:t xml:space="preserve"> </w:t>
      </w:r>
      <w:r>
        <w:rPr>
          <w:rStyle w:val="pplr8t-x-x-901"/>
          <w:sz w:val="18"/>
          <w:szCs w:val="18"/>
        </w:rPr>
        <w:t>Maas</w:t>
      </w:r>
      <w:r>
        <w:rPr>
          <w:rStyle w:val="pplr8t-x-x-901"/>
          <w:sz w:val="18"/>
          <w:szCs w:val="18"/>
        </w:rPr>
        <w:softHyphen/>
        <w:t>tricht: [Selbstverlag], 2015.</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Jansen 2019 = Jansen, Dirk Jacob: Jacopo Strada</w:t>
      </w:r>
      <w:r>
        <w:rPr>
          <w:sz w:val="18"/>
          <w:szCs w:val="18"/>
        </w:rPr>
        <w:t xml:space="preserve"> </w:t>
      </w:r>
      <w:r>
        <w:rPr>
          <w:rStyle w:val="pplr8t-x-x-901"/>
          <w:sz w:val="18"/>
          <w:szCs w:val="18"/>
        </w:rPr>
        <w:t>and Cultural Pa</w:t>
      </w:r>
      <w:r>
        <w:rPr>
          <w:rStyle w:val="pplr8t-x-x-901"/>
          <w:sz w:val="18"/>
          <w:szCs w:val="18"/>
        </w:rPr>
        <w:softHyphen/>
        <w:t>tronage at the Imperial</w:t>
      </w:r>
      <w:r>
        <w:rPr>
          <w:sz w:val="18"/>
          <w:szCs w:val="18"/>
        </w:rPr>
        <w:t xml:space="preserve"> </w:t>
      </w:r>
      <w:r>
        <w:rPr>
          <w:rStyle w:val="pplr8t-x-x-901"/>
          <w:sz w:val="18"/>
          <w:szCs w:val="18"/>
        </w:rPr>
        <w:t>Court. The Antique as Innovation. – 2</w:t>
      </w:r>
      <w:r>
        <w:rPr>
          <w:sz w:val="18"/>
          <w:szCs w:val="18"/>
        </w:rPr>
        <w:t xml:space="preserve"> </w:t>
      </w:r>
      <w:r>
        <w:rPr>
          <w:rStyle w:val="pplr8t-x-x-901"/>
          <w:sz w:val="18"/>
          <w:szCs w:val="18"/>
        </w:rPr>
        <w:t>Bde. – Leiden; Boston: Brill, 2019.</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Kulawik 2002 = Kulawik, Bernd: Die Zeichnungen</w:t>
      </w:r>
      <w:r>
        <w:rPr>
          <w:sz w:val="18"/>
          <w:szCs w:val="18"/>
        </w:rPr>
        <w:t xml:space="preserve"> </w:t>
      </w:r>
      <w:r>
        <w:rPr>
          <w:rStyle w:val="pplr8t-x-x-901"/>
          <w:sz w:val="18"/>
          <w:szCs w:val="18"/>
        </w:rPr>
        <w:t>im Codex De</w:t>
      </w:r>
      <w:r>
        <w:rPr>
          <w:rStyle w:val="pplr8t-x-x-901"/>
          <w:sz w:val="18"/>
          <w:szCs w:val="18"/>
        </w:rPr>
        <w:softHyphen/>
        <w:t>stailleur D (Hdz 4151) der</w:t>
      </w:r>
      <w:r>
        <w:rPr>
          <w:sz w:val="18"/>
          <w:szCs w:val="18"/>
        </w:rPr>
        <w:t xml:space="preserve"> </w:t>
      </w:r>
      <w:r>
        <w:rPr>
          <w:rStyle w:val="pplr8t-x-x-901"/>
          <w:sz w:val="18"/>
          <w:szCs w:val="18"/>
        </w:rPr>
        <w:t>Berliner Kunstbibliothek –</w:t>
      </w:r>
      <w:r>
        <w:rPr>
          <w:sz w:val="18"/>
          <w:szCs w:val="18"/>
        </w:rPr>
        <w:t xml:space="preserve"> </w:t>
      </w:r>
      <w:r>
        <w:rPr>
          <w:rStyle w:val="pplr8t-x-x-901"/>
          <w:sz w:val="18"/>
          <w:szCs w:val="18"/>
        </w:rPr>
        <w:t>Preußi</w:t>
      </w:r>
      <w:r>
        <w:rPr>
          <w:rStyle w:val="pplr8t-x-x-901"/>
          <w:sz w:val="18"/>
          <w:szCs w:val="18"/>
        </w:rPr>
        <w:softHyphen/>
        <w:t>scher Kulturbesitz zum letzten</w:t>
      </w:r>
      <w:r>
        <w:rPr>
          <w:sz w:val="18"/>
          <w:szCs w:val="18"/>
        </w:rPr>
        <w:t xml:space="preserve"> </w:t>
      </w:r>
      <w:r>
        <w:rPr>
          <w:rStyle w:val="pplr8t-x-x-901"/>
          <w:sz w:val="18"/>
          <w:szCs w:val="18"/>
        </w:rPr>
        <w:t>Projekte Antonio da Sangallos d. J. für</w:t>
      </w:r>
      <w:r>
        <w:rPr>
          <w:sz w:val="18"/>
          <w:szCs w:val="18"/>
        </w:rPr>
        <w:t xml:space="preserve"> </w:t>
      </w:r>
      <w:r>
        <w:rPr>
          <w:rStyle w:val="pplr8t-x-x-901"/>
          <w:sz w:val="18"/>
          <w:szCs w:val="18"/>
        </w:rPr>
        <w:t>den Neubau von St. Peter in Rom. –</w:t>
      </w:r>
      <w:r>
        <w:rPr>
          <w:sz w:val="18"/>
          <w:szCs w:val="18"/>
        </w:rPr>
        <w:t xml:space="preserve"> </w:t>
      </w:r>
      <w:r>
        <w:rPr>
          <w:rStyle w:val="pplr8t-x-x-901"/>
          <w:sz w:val="18"/>
          <w:szCs w:val="18"/>
        </w:rPr>
        <w:t>Dissertation, TU Berlin: 2002.</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Kulawik 2007 = Kulawik,</w:t>
      </w:r>
      <w:r>
        <w:rPr>
          <w:sz w:val="18"/>
          <w:szCs w:val="18"/>
        </w:rPr>
        <w:t xml:space="preserve"> </w:t>
      </w:r>
      <w:r>
        <w:rPr>
          <w:rStyle w:val="pplr8t-x-x-901"/>
          <w:sz w:val="18"/>
          <w:szCs w:val="18"/>
        </w:rPr>
        <w:t>Bernd: Der Codex Destailleur D –</w:t>
      </w:r>
      <w:r>
        <w:rPr>
          <w:sz w:val="18"/>
          <w:szCs w:val="18"/>
        </w:rPr>
        <w:t xml:space="preserve"> </w:t>
      </w:r>
      <w:r>
        <w:rPr>
          <w:rStyle w:val="pplr8t-x-x-901"/>
          <w:sz w:val="18"/>
          <w:szCs w:val="18"/>
        </w:rPr>
        <w:t>Bau</w:t>
      </w:r>
      <w:r>
        <w:rPr>
          <w:rStyle w:val="pplr8t-x-x-901"/>
          <w:sz w:val="18"/>
          <w:szCs w:val="18"/>
        </w:rPr>
        <w:softHyphen/>
        <w:t>aufnahmen antiker Monumente</w:t>
      </w:r>
      <w:r>
        <w:rPr>
          <w:sz w:val="18"/>
          <w:szCs w:val="18"/>
        </w:rPr>
        <w:t xml:space="preserve"> </w:t>
      </w:r>
      <w:r>
        <w:rPr>
          <w:rStyle w:val="pplr8t-x-x-901"/>
          <w:sz w:val="18"/>
          <w:szCs w:val="18"/>
        </w:rPr>
        <w:t>durch französische Zeichner. – In:</w:t>
      </w:r>
      <w:r>
        <w:rPr>
          <w:sz w:val="18"/>
          <w:szCs w:val="18"/>
        </w:rPr>
        <w:t xml:space="preserve"> </w:t>
      </w:r>
      <w:r>
        <w:rPr>
          <w:rStyle w:val="pplr8t-x-x-901"/>
          <w:sz w:val="18"/>
          <w:szCs w:val="18"/>
        </w:rPr>
        <w:t>Schade, K.; Rössler, D.; Schäfer, A.</w:t>
      </w:r>
      <w:r>
        <w:rPr>
          <w:sz w:val="18"/>
          <w:szCs w:val="18"/>
        </w:rPr>
        <w:t xml:space="preserve"> </w:t>
      </w:r>
      <w:r>
        <w:rPr>
          <w:rStyle w:val="pplr8t-x-x-901"/>
          <w:sz w:val="18"/>
          <w:szCs w:val="18"/>
        </w:rPr>
        <w:t>(Hg.): Zentren und Wirkungsräume</w:t>
      </w:r>
      <w:r>
        <w:rPr>
          <w:sz w:val="18"/>
          <w:szCs w:val="18"/>
        </w:rPr>
        <w:t xml:space="preserve"> </w:t>
      </w:r>
      <w:r>
        <w:rPr>
          <w:rStyle w:val="pplr8t-x-x-901"/>
          <w:sz w:val="18"/>
          <w:szCs w:val="18"/>
        </w:rPr>
        <w:t>der Antikerezeption (Festschrift für</w:t>
      </w:r>
      <w:r>
        <w:rPr>
          <w:sz w:val="18"/>
          <w:szCs w:val="18"/>
        </w:rPr>
        <w:t xml:space="preserve"> </w:t>
      </w:r>
      <w:r>
        <w:rPr>
          <w:rStyle w:val="pplr8t-x-x-901"/>
          <w:sz w:val="18"/>
          <w:szCs w:val="18"/>
        </w:rPr>
        <w:t>Henning Wrede). – Münster: 2007, S.</w:t>
      </w:r>
      <w:r>
        <w:rPr>
          <w:sz w:val="18"/>
          <w:szCs w:val="18"/>
        </w:rPr>
        <w:t xml:space="preserve"> </w:t>
      </w:r>
      <w:r>
        <w:rPr>
          <w:rStyle w:val="pplr8t-x-x-901"/>
          <w:sz w:val="18"/>
          <w:szCs w:val="18"/>
        </w:rPr>
        <w:t>111–114.</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lastRenderedPageBreak/>
        <w:t>Kulawik 2017 = Kulawik, Bernd: Wer ist der</w:t>
      </w:r>
      <w:r>
        <w:rPr>
          <w:sz w:val="18"/>
          <w:szCs w:val="18"/>
        </w:rPr>
        <w:t xml:space="preserve"> </w:t>
      </w:r>
      <w:r>
        <w:rPr>
          <w:rStyle w:val="pplr8t-x-x-901"/>
          <w:sz w:val="18"/>
          <w:szCs w:val="18"/>
        </w:rPr>
        <w:t>Anonymus Destail</w:t>
      </w:r>
      <w:r>
        <w:rPr>
          <w:rStyle w:val="pplr8t-x-x-901"/>
          <w:sz w:val="18"/>
          <w:szCs w:val="18"/>
        </w:rPr>
        <w:softHyphen/>
        <w:t>leur? – In: Scholion</w:t>
      </w:r>
      <w:r>
        <w:rPr>
          <w:sz w:val="18"/>
          <w:szCs w:val="18"/>
        </w:rPr>
        <w:t xml:space="preserve"> </w:t>
      </w:r>
      <w:r>
        <w:rPr>
          <w:rStyle w:val="pplr8t-x-x-901"/>
          <w:sz w:val="18"/>
          <w:szCs w:val="18"/>
        </w:rPr>
        <w:t>10 (2016 [2017]), S. 229–238.</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Kulawik 2018.1 = Kulawik, Bernd: Establishing</w:t>
      </w:r>
      <w:r>
        <w:rPr>
          <w:sz w:val="18"/>
          <w:szCs w:val="18"/>
        </w:rPr>
        <w:t xml:space="preserve"> </w:t>
      </w:r>
      <w:r>
        <w:rPr>
          <w:rStyle w:val="pplr8t-x-x-901"/>
          <w:sz w:val="18"/>
          <w:szCs w:val="18"/>
        </w:rPr>
        <w:t>Norms for a New Architecture: The</w:t>
      </w:r>
      <w:r>
        <w:rPr>
          <w:sz w:val="18"/>
          <w:szCs w:val="18"/>
        </w:rPr>
        <w:t xml:space="preserve"> </w:t>
      </w:r>
      <w:r>
        <w:rPr>
          <w:rStyle w:val="pplr8t-x-x-901"/>
          <w:sz w:val="18"/>
          <w:szCs w:val="18"/>
        </w:rPr>
        <w:t>Project of the Accademia della Virtù,</w:t>
      </w:r>
      <w:r>
        <w:rPr>
          <w:sz w:val="18"/>
          <w:szCs w:val="18"/>
        </w:rPr>
        <w:t xml:space="preserve"> </w:t>
      </w:r>
      <w:r>
        <w:rPr>
          <w:rStyle w:val="pplr8t-x-x-901"/>
          <w:sz w:val="18"/>
          <w:szCs w:val="18"/>
        </w:rPr>
        <w:t>Its Aims and Results. – In: Miesse,</w:t>
      </w:r>
      <w:r>
        <w:rPr>
          <w:sz w:val="18"/>
          <w:szCs w:val="18"/>
        </w:rPr>
        <w:t xml:space="preserve"> </w:t>
      </w:r>
      <w:r>
        <w:rPr>
          <w:rStyle w:val="pplr8t-x-x-901"/>
          <w:sz w:val="18"/>
          <w:szCs w:val="18"/>
        </w:rPr>
        <w:t>Hélène; Valenti, G. (Hg.): Mo</w:t>
      </w:r>
      <w:r>
        <w:rPr>
          <w:rStyle w:val="pplr8t-x-x-901"/>
          <w:sz w:val="18"/>
          <w:szCs w:val="18"/>
        </w:rPr>
        <w:softHyphen/>
        <w:t>dello,</w:t>
      </w:r>
      <w:r>
        <w:rPr>
          <w:sz w:val="18"/>
          <w:szCs w:val="18"/>
        </w:rPr>
        <w:t xml:space="preserve"> </w:t>
      </w:r>
      <w:r>
        <w:rPr>
          <w:rStyle w:val="pplr8t-x-x-901"/>
          <w:sz w:val="18"/>
          <w:szCs w:val="18"/>
        </w:rPr>
        <w:t>regola, ordine. Parcours normatifs</w:t>
      </w:r>
      <w:r>
        <w:rPr>
          <w:sz w:val="18"/>
          <w:szCs w:val="18"/>
        </w:rPr>
        <w:t xml:space="preserve"> </w:t>
      </w:r>
      <w:r>
        <w:rPr>
          <w:rStyle w:val="pplr8t-x-x-901"/>
          <w:sz w:val="18"/>
          <w:szCs w:val="18"/>
        </w:rPr>
        <w:t>dans l’Italie du Cin</w:t>
      </w:r>
      <w:r>
        <w:rPr>
          <w:rStyle w:val="pplr8t-x-x-901"/>
          <w:sz w:val="18"/>
          <w:szCs w:val="18"/>
        </w:rPr>
        <w:softHyphen/>
        <w:t>quecento.</w:t>
      </w:r>
      <w:r>
        <w:rPr>
          <w:sz w:val="18"/>
          <w:szCs w:val="18"/>
        </w:rPr>
        <w:t xml:space="preserve"> </w:t>
      </w:r>
      <w:r>
        <w:rPr>
          <w:rStyle w:val="pplr8t-x-x-901"/>
          <w:sz w:val="18"/>
          <w:szCs w:val="18"/>
        </w:rPr>
        <w:t>– Rennes: Presses Universitaires, 2018,</w:t>
      </w:r>
      <w:r>
        <w:rPr>
          <w:sz w:val="18"/>
          <w:szCs w:val="18"/>
        </w:rPr>
        <w:t xml:space="preserve"> </w:t>
      </w:r>
      <w:r>
        <w:rPr>
          <w:rStyle w:val="pplr8t-x-x-901"/>
          <w:sz w:val="18"/>
          <w:szCs w:val="18"/>
        </w:rPr>
        <w:t>pp. 311–322.</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Kulawik 2018.2 = Kulawik, Bernd: Tolomei’s Project</w:t>
      </w:r>
      <w:r>
        <w:rPr>
          <w:sz w:val="18"/>
          <w:szCs w:val="18"/>
        </w:rPr>
        <w:t xml:space="preserve"> </w:t>
      </w:r>
      <w:r>
        <w:rPr>
          <w:rStyle w:val="pplr8t-x-x-901"/>
          <w:sz w:val="18"/>
          <w:szCs w:val="18"/>
        </w:rPr>
        <w:t>for a Plan</w:t>
      </w:r>
      <w:r>
        <w:rPr>
          <w:rStyle w:val="pplr8t-x-x-901"/>
          <w:sz w:val="18"/>
          <w:szCs w:val="18"/>
        </w:rPr>
        <w:softHyphen/>
        <w:t>ned Renaissance of Roman</w:t>
      </w:r>
      <w:r>
        <w:rPr>
          <w:sz w:val="18"/>
          <w:szCs w:val="18"/>
        </w:rPr>
        <w:t xml:space="preserve"> </w:t>
      </w:r>
      <w:r>
        <w:rPr>
          <w:rStyle w:val="pplr8t-x-x-901"/>
          <w:sz w:val="18"/>
          <w:szCs w:val="18"/>
        </w:rPr>
        <w:t>Architecture — Unfinished? – In:</w:t>
      </w:r>
      <w:r>
        <w:rPr>
          <w:sz w:val="18"/>
          <w:szCs w:val="18"/>
        </w:rPr>
        <w:t xml:space="preserve"> </w:t>
      </w:r>
      <w:r>
        <w:rPr>
          <w:rStyle w:val="pplr8t-x-x-901"/>
          <w:sz w:val="18"/>
          <w:szCs w:val="18"/>
        </w:rPr>
        <w:t>Unfinished Renaissances = I Tatti</w:t>
      </w:r>
      <w:r>
        <w:rPr>
          <w:sz w:val="18"/>
          <w:szCs w:val="18"/>
        </w:rPr>
        <w:t xml:space="preserve"> </w:t>
      </w:r>
      <w:r>
        <w:rPr>
          <w:rStyle w:val="pplr8t-x-x-901"/>
          <w:sz w:val="18"/>
          <w:szCs w:val="18"/>
        </w:rPr>
        <w:t>Studies in the Italian Renais</w:t>
      </w:r>
      <w:r>
        <w:rPr>
          <w:rStyle w:val="pplr8t-x-x-901"/>
          <w:sz w:val="18"/>
          <w:szCs w:val="18"/>
        </w:rPr>
        <w:softHyphen/>
        <w:t>sance 21,2</w:t>
      </w:r>
      <w:r>
        <w:rPr>
          <w:sz w:val="18"/>
          <w:szCs w:val="18"/>
        </w:rPr>
        <w:t xml:space="preserve"> </w:t>
      </w:r>
      <w:r>
        <w:rPr>
          <w:rStyle w:val="pplr8t-x-x-901"/>
          <w:sz w:val="18"/>
          <w:szCs w:val="18"/>
        </w:rPr>
        <w:t>(2018), S. 275–297.</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Kulawik 2019 = Kulawik, Bernd: Tolomei’s Letter</w:t>
      </w:r>
      <w:r>
        <w:rPr>
          <w:sz w:val="18"/>
          <w:szCs w:val="18"/>
        </w:rPr>
        <w:t xml:space="preserve"> </w:t>
      </w:r>
      <w:r>
        <w:rPr>
          <w:rStyle w:val="pplr8t-x-x-901"/>
          <w:sz w:val="18"/>
          <w:szCs w:val="18"/>
        </w:rPr>
        <w:t>to Agostino de’ Landi. – In: Zirpolo,</w:t>
      </w:r>
      <w:r>
        <w:rPr>
          <w:sz w:val="18"/>
          <w:szCs w:val="18"/>
        </w:rPr>
        <w:t xml:space="preserve"> </w:t>
      </w:r>
      <w:r>
        <w:rPr>
          <w:rStyle w:val="pplr8t-x-x-901"/>
          <w:sz w:val="18"/>
          <w:szCs w:val="18"/>
        </w:rPr>
        <w:t>L. (Hg.): Epistolary Discourse: Letters</w:t>
      </w:r>
      <w:r>
        <w:rPr>
          <w:sz w:val="18"/>
          <w:szCs w:val="18"/>
        </w:rPr>
        <w:t xml:space="preserve"> </w:t>
      </w:r>
      <w:r>
        <w:rPr>
          <w:rStyle w:val="pplr8t-x-x-901"/>
          <w:sz w:val="18"/>
          <w:szCs w:val="18"/>
        </w:rPr>
        <w:t>and Letter-Writing in Early Modern</w:t>
      </w:r>
      <w:r>
        <w:rPr>
          <w:sz w:val="18"/>
          <w:szCs w:val="18"/>
        </w:rPr>
        <w:t xml:space="preserve"> </w:t>
      </w:r>
      <w:r>
        <w:rPr>
          <w:rStyle w:val="pplr8t-x-x-901"/>
          <w:sz w:val="18"/>
          <w:szCs w:val="18"/>
        </w:rPr>
        <w:t>Art. – Ramsey/NJ: Zephy</w:t>
      </w:r>
      <w:r>
        <w:rPr>
          <w:rStyle w:val="pplr8t-x-x-901"/>
          <w:sz w:val="18"/>
          <w:szCs w:val="18"/>
        </w:rPr>
        <w:softHyphen/>
        <w:t>rus, 2019, S.</w:t>
      </w:r>
      <w:r>
        <w:rPr>
          <w:sz w:val="18"/>
          <w:szCs w:val="18"/>
        </w:rPr>
        <w:t xml:space="preserve"> </w:t>
      </w:r>
      <w:r>
        <w:rPr>
          <w:rStyle w:val="pplr8t-x-x-901"/>
          <w:sz w:val="18"/>
          <w:szCs w:val="18"/>
        </w:rPr>
        <w:t>3–28.</w:t>
      </w:r>
      <w:r>
        <w:rPr>
          <w:sz w:val="18"/>
          <w:szCs w:val="18"/>
        </w:rPr>
        <w:t xml:space="preserve"> </w:t>
      </w:r>
    </w:p>
    <w:p w:rsidR="00307781" w:rsidRDefault="00743576">
      <w:pPr>
        <w:pStyle w:val="bibitem"/>
        <w:spacing w:line="276" w:lineRule="auto"/>
        <w:ind w:left="284" w:hanging="284"/>
        <w:rPr>
          <w:sz w:val="18"/>
          <w:szCs w:val="18"/>
        </w:rPr>
      </w:pPr>
      <w:r>
        <w:rPr>
          <w:rStyle w:val="biblabel"/>
          <w:sz w:val="18"/>
          <w:szCs w:val="18"/>
        </w:rPr>
        <w:t xml:space="preserve">Mandowsky/Mitchell 1963 = </w:t>
      </w:r>
      <w:r>
        <w:rPr>
          <w:sz w:val="18"/>
          <w:szCs w:val="18"/>
        </w:rPr>
        <w:t>Mandowsky, Erna; Mitchell, Charles: Pirro Ligorio’s Roman Antiquities: The drawings in MS. XII</w:t>
      </w:r>
      <w:r>
        <w:rPr>
          <w:sz w:val="18"/>
          <w:szCs w:val="18"/>
        </w:rPr>
        <w:softHyphen/>
        <w:t>I.B.7 in the National Library in Naples. (= Studies of the War</w:t>
      </w:r>
      <w:r>
        <w:rPr>
          <w:sz w:val="18"/>
          <w:szCs w:val="18"/>
        </w:rPr>
        <w:softHyphen/>
        <w:t xml:space="preserve">burg Institute, Vol. 28) – London: 1963. </w:t>
      </w:r>
    </w:p>
    <w:p w:rsidR="00307781" w:rsidRDefault="00743576">
      <w:pPr>
        <w:pStyle w:val="bibitem"/>
        <w:spacing w:line="276" w:lineRule="auto"/>
        <w:ind w:left="284" w:hanging="284"/>
        <w:rPr>
          <w:sz w:val="18"/>
          <w:szCs w:val="18"/>
        </w:rPr>
      </w:pPr>
      <w:r>
        <w:rPr>
          <w:rStyle w:val="biblabel"/>
          <w:sz w:val="18"/>
          <w:szCs w:val="18"/>
        </w:rPr>
        <w:t xml:space="preserve">Mazochi 1521 = </w:t>
      </w:r>
      <w:r>
        <w:rPr>
          <w:sz w:val="18"/>
          <w:szCs w:val="18"/>
        </w:rPr>
        <w:t xml:space="preserve">Mazochi, Jacopo: Epigrammata Antiqvae Vribs. – Rom: In. Aedib. Iacobi Mazochii, 521 </w:t>
      </w:r>
    </w:p>
    <w:p w:rsidR="00307781" w:rsidRDefault="00743576">
      <w:pPr>
        <w:pStyle w:val="bibitem"/>
        <w:spacing w:line="276" w:lineRule="auto"/>
        <w:ind w:left="284" w:hanging="284"/>
        <w:rPr>
          <w:sz w:val="18"/>
          <w:szCs w:val="18"/>
        </w:rPr>
      </w:pPr>
      <w:r>
        <w:rPr>
          <w:rStyle w:val="pplr8t-x-x-901"/>
          <w:sz w:val="18"/>
          <w:szCs w:val="18"/>
        </w:rPr>
        <w:t>Moroncini 2016 = Moroncini, Ambra: The Accademia</w:t>
      </w:r>
      <w:r>
        <w:rPr>
          <w:sz w:val="18"/>
          <w:szCs w:val="18"/>
        </w:rPr>
        <w:t xml:space="preserve"> </w:t>
      </w:r>
      <w:r>
        <w:rPr>
          <w:rStyle w:val="pplr8t-x-x-901"/>
          <w:sz w:val="18"/>
          <w:szCs w:val="18"/>
        </w:rPr>
        <w:t>della Virtù and religious dissent. –</w:t>
      </w:r>
      <w:r>
        <w:rPr>
          <w:sz w:val="18"/>
          <w:szCs w:val="18"/>
        </w:rPr>
        <w:t xml:space="preserve"> </w:t>
      </w:r>
      <w:r>
        <w:rPr>
          <w:rStyle w:val="pplr8t-x-x-901"/>
          <w:sz w:val="18"/>
          <w:szCs w:val="18"/>
        </w:rPr>
        <w:t>In: Everson, Jane E.; Reidy, Denis</w:t>
      </w:r>
      <w:r>
        <w:rPr>
          <w:sz w:val="18"/>
          <w:szCs w:val="18"/>
        </w:rPr>
        <w:t xml:space="preserve"> </w:t>
      </w:r>
      <w:r>
        <w:rPr>
          <w:rStyle w:val="pplr8t-x-x-901"/>
          <w:sz w:val="18"/>
          <w:szCs w:val="18"/>
        </w:rPr>
        <w:t>V.; Sampson, Lisa (Hg.): The Italian</w:t>
      </w:r>
      <w:r>
        <w:rPr>
          <w:sz w:val="18"/>
          <w:szCs w:val="18"/>
        </w:rPr>
        <w:t xml:space="preserve"> </w:t>
      </w:r>
      <w:r>
        <w:rPr>
          <w:rStyle w:val="pplr8t-x-x-901"/>
          <w:sz w:val="18"/>
          <w:szCs w:val="18"/>
        </w:rPr>
        <w:t>Academies 1525–1700: Net</w:t>
      </w:r>
      <w:r>
        <w:rPr>
          <w:rStyle w:val="pplr8t-x-x-901"/>
          <w:sz w:val="18"/>
          <w:szCs w:val="18"/>
        </w:rPr>
        <w:softHyphen/>
        <w:t>works of</w:t>
      </w:r>
      <w:r>
        <w:rPr>
          <w:sz w:val="18"/>
          <w:szCs w:val="18"/>
        </w:rPr>
        <w:t xml:space="preserve"> </w:t>
      </w:r>
      <w:r>
        <w:rPr>
          <w:rStyle w:val="pplr8t-x-x-901"/>
          <w:sz w:val="18"/>
          <w:szCs w:val="18"/>
        </w:rPr>
        <w:t>Culture, Innovation and Dissent. –</w:t>
      </w:r>
      <w:r>
        <w:rPr>
          <w:sz w:val="18"/>
          <w:szCs w:val="18"/>
        </w:rPr>
        <w:t xml:space="preserve"> </w:t>
      </w:r>
      <w:r>
        <w:rPr>
          <w:rStyle w:val="pplr8t-x-x-901"/>
          <w:sz w:val="18"/>
          <w:szCs w:val="18"/>
        </w:rPr>
        <w:t>Oxford: Legenda, 2016, S. 88–101.</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Moroncini 2017 = Moroncini, Ambra: Il «Giuoco de</w:t>
      </w:r>
      <w:r>
        <w:rPr>
          <w:sz w:val="18"/>
          <w:szCs w:val="18"/>
        </w:rPr>
        <w:t xml:space="preserve"> </w:t>
      </w:r>
      <w:r>
        <w:rPr>
          <w:rStyle w:val="pplr8t-x-x-901"/>
          <w:sz w:val="18"/>
          <w:szCs w:val="18"/>
        </w:rPr>
        <w:t>la Virtù»: un intreccio accademico tra</w:t>
      </w:r>
      <w:r>
        <w:rPr>
          <w:sz w:val="18"/>
          <w:szCs w:val="18"/>
        </w:rPr>
        <w:t xml:space="preserve"> </w:t>
      </w:r>
      <w:r>
        <w:rPr>
          <w:rStyle w:val="pplr8t-x-x-901"/>
          <w:sz w:val="18"/>
          <w:szCs w:val="18"/>
        </w:rPr>
        <w:t>‘Stravaganze’ letterarie e suggestioni</w:t>
      </w:r>
      <w:r>
        <w:rPr>
          <w:sz w:val="18"/>
          <w:szCs w:val="18"/>
        </w:rPr>
        <w:t xml:space="preserve"> </w:t>
      </w:r>
      <w:r>
        <w:rPr>
          <w:rStyle w:val="pplr8t-x-x-901"/>
          <w:sz w:val="18"/>
          <w:szCs w:val="18"/>
        </w:rPr>
        <w:t>evangeliche. – In: Chiummo, C. u. a.</w:t>
      </w:r>
      <w:r>
        <w:rPr>
          <w:sz w:val="18"/>
          <w:szCs w:val="18"/>
        </w:rPr>
        <w:t xml:space="preserve"> </w:t>
      </w:r>
      <w:r>
        <w:rPr>
          <w:rStyle w:val="pplr8t-x-x-901"/>
          <w:sz w:val="18"/>
          <w:szCs w:val="18"/>
        </w:rPr>
        <w:t>(Hg.): Intrecci virtuosi: Letterati, artisti</w:t>
      </w:r>
      <w:r>
        <w:rPr>
          <w:sz w:val="18"/>
          <w:szCs w:val="18"/>
        </w:rPr>
        <w:t xml:space="preserve"> </w:t>
      </w:r>
      <w:r>
        <w:rPr>
          <w:rStyle w:val="pplr8t-x-x-901"/>
          <w:sz w:val="18"/>
          <w:szCs w:val="18"/>
        </w:rPr>
        <w:t>e accademie tra Cinque e Seicento.</w:t>
      </w:r>
      <w:r>
        <w:rPr>
          <w:sz w:val="18"/>
          <w:szCs w:val="18"/>
        </w:rPr>
        <w:t xml:space="preserve"> </w:t>
      </w:r>
      <w:r>
        <w:rPr>
          <w:rStyle w:val="pplr8t-x-x-901"/>
          <w:sz w:val="18"/>
          <w:szCs w:val="18"/>
        </w:rPr>
        <w:t>Roma, 2017.</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Palladio 1570 = Palladio, Andrea: I Quattro Libri</w:t>
      </w:r>
      <w:r>
        <w:rPr>
          <w:sz w:val="18"/>
          <w:szCs w:val="18"/>
        </w:rPr>
        <w:t xml:space="preserve"> </w:t>
      </w:r>
      <w:r>
        <w:rPr>
          <w:rStyle w:val="pplr8t-x-x-901"/>
          <w:sz w:val="18"/>
          <w:szCs w:val="18"/>
        </w:rPr>
        <w:t>dell’Architettura. – Venedig: 1570</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Panvinio/Strada 1557.1 = Panvinio, Onofrio; Strada, Jacopo</w:t>
      </w:r>
      <w:r>
        <w:rPr>
          <w:sz w:val="18"/>
          <w:szCs w:val="18"/>
        </w:rPr>
        <w:t xml:space="preserve"> </w:t>
      </w:r>
      <w:r>
        <w:rPr>
          <w:rStyle w:val="pplr8t-x-x-901"/>
          <w:sz w:val="18"/>
          <w:szCs w:val="18"/>
        </w:rPr>
        <w:t>(Hg.):</w:t>
      </w:r>
      <w:r>
        <w:rPr>
          <w:sz w:val="18"/>
          <w:szCs w:val="18"/>
        </w:rPr>
        <w:t xml:space="preserve"> </w:t>
      </w:r>
      <w:r>
        <w:rPr>
          <w:rStyle w:val="pplr8t-x-x-901"/>
          <w:sz w:val="18"/>
          <w:szCs w:val="18"/>
        </w:rPr>
        <w:t>Epitome Pontificum Romanorum A S.</w:t>
      </w:r>
      <w:r>
        <w:rPr>
          <w:sz w:val="18"/>
          <w:szCs w:val="18"/>
        </w:rPr>
        <w:t xml:space="preserve"> </w:t>
      </w:r>
      <w:r>
        <w:rPr>
          <w:rStyle w:val="pplr8t-x-x-901"/>
          <w:sz w:val="18"/>
          <w:szCs w:val="18"/>
        </w:rPr>
        <w:t>Petru usque ad Paulum III. – Venezia:</w:t>
      </w:r>
      <w:r>
        <w:rPr>
          <w:sz w:val="18"/>
          <w:szCs w:val="18"/>
        </w:rPr>
        <w:t xml:space="preserve"> </w:t>
      </w:r>
      <w:r>
        <w:rPr>
          <w:rStyle w:val="pplr8t-x-x-901"/>
          <w:sz w:val="18"/>
          <w:szCs w:val="18"/>
        </w:rPr>
        <w:t>Strada, 1557.</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lastRenderedPageBreak/>
        <w:t>Panvinio/Strada 1557.2 = Panvinio, Onofrio; Strada, Jacopo</w:t>
      </w:r>
      <w:r>
        <w:rPr>
          <w:sz w:val="18"/>
          <w:szCs w:val="18"/>
        </w:rPr>
        <w:t xml:space="preserve"> </w:t>
      </w:r>
      <w:r>
        <w:rPr>
          <w:rStyle w:val="pplr8t-x-x-901"/>
          <w:sz w:val="18"/>
          <w:szCs w:val="18"/>
        </w:rPr>
        <w:t>(Hg.): Fasti et triumphi Romanorum. –</w:t>
      </w:r>
      <w:r>
        <w:rPr>
          <w:sz w:val="18"/>
          <w:szCs w:val="18"/>
        </w:rPr>
        <w:t xml:space="preserve"> </w:t>
      </w:r>
      <w:r>
        <w:rPr>
          <w:rStyle w:val="pplr8t-x-x-901"/>
          <w:sz w:val="18"/>
          <w:szCs w:val="18"/>
        </w:rPr>
        <w:t>Venezia: Strada, 1557.</w:t>
      </w:r>
      <w:r>
        <w:rPr>
          <w:sz w:val="18"/>
          <w:szCs w:val="18"/>
        </w:rPr>
        <w:t xml:space="preserve"> </w:t>
      </w:r>
    </w:p>
    <w:p w:rsidR="00307781" w:rsidRDefault="00743576">
      <w:pPr>
        <w:pStyle w:val="bibitem"/>
        <w:spacing w:line="276" w:lineRule="auto"/>
        <w:ind w:left="284" w:hanging="284"/>
        <w:rPr>
          <w:sz w:val="18"/>
          <w:szCs w:val="18"/>
        </w:rPr>
      </w:pPr>
      <w:r>
        <w:rPr>
          <w:rStyle w:val="biblabel"/>
          <w:sz w:val="18"/>
          <w:szCs w:val="18"/>
        </w:rPr>
        <w:t xml:space="preserve">Panvinio 1558 = </w:t>
      </w:r>
      <w:r>
        <w:rPr>
          <w:rStyle w:val="pplr8t-x-x-901"/>
          <w:sz w:val="18"/>
          <w:szCs w:val="18"/>
        </w:rPr>
        <w:t>Panvinio, Onofrio: Reipublicæ</w:t>
      </w:r>
      <w:r>
        <w:rPr>
          <w:sz w:val="18"/>
          <w:szCs w:val="18"/>
        </w:rPr>
        <w:t xml:space="preserve"> </w:t>
      </w:r>
      <w:r>
        <w:rPr>
          <w:rStyle w:val="pplr8t-x-x-901"/>
          <w:sz w:val="18"/>
          <w:szCs w:val="18"/>
        </w:rPr>
        <w:t>Romanæ Com-mentariorum Libri 3. –</w:t>
      </w:r>
      <w:r>
        <w:rPr>
          <w:sz w:val="18"/>
          <w:szCs w:val="18"/>
        </w:rPr>
        <w:t xml:space="preserve"> </w:t>
      </w:r>
      <w:r>
        <w:rPr>
          <w:rStyle w:val="pplr8t-x-x-901"/>
          <w:sz w:val="18"/>
          <w:szCs w:val="18"/>
        </w:rPr>
        <w:t>Venedig: Valgrisio, 1558.</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Philandrier 1544 = Philandrier, Guillaume: In</w:t>
      </w:r>
      <w:r>
        <w:rPr>
          <w:sz w:val="18"/>
          <w:szCs w:val="18"/>
        </w:rPr>
        <w:t xml:space="preserve"> </w:t>
      </w:r>
      <w:r>
        <w:rPr>
          <w:rStyle w:val="pplr8t-x-x-901"/>
          <w:sz w:val="18"/>
          <w:szCs w:val="18"/>
        </w:rPr>
        <w:t>decem libros M. Vi</w:t>
      </w:r>
      <w:r>
        <w:rPr>
          <w:rStyle w:val="pplr8t-x-x-901"/>
          <w:sz w:val="18"/>
          <w:szCs w:val="18"/>
        </w:rPr>
        <w:softHyphen/>
        <w:t>truvii Pollionis de</w:t>
      </w:r>
      <w:r>
        <w:rPr>
          <w:sz w:val="18"/>
          <w:szCs w:val="18"/>
        </w:rPr>
        <w:t xml:space="preserve"> </w:t>
      </w:r>
      <w:r>
        <w:rPr>
          <w:rStyle w:val="pplr8t-x-x-901"/>
          <w:sz w:val="18"/>
          <w:szCs w:val="18"/>
        </w:rPr>
        <w:t>Architectura Annotationes. – Roma: A.</w:t>
      </w:r>
      <w:r>
        <w:rPr>
          <w:sz w:val="18"/>
          <w:szCs w:val="18"/>
        </w:rPr>
        <w:t xml:space="preserve"> </w:t>
      </w:r>
      <w:r>
        <w:rPr>
          <w:rStyle w:val="pplr8t-x-x-901"/>
          <w:sz w:val="18"/>
          <w:szCs w:val="18"/>
        </w:rPr>
        <w:t>Bla</w:t>
      </w:r>
      <w:r>
        <w:rPr>
          <w:rStyle w:val="pplr8t-x-x-901"/>
          <w:sz w:val="18"/>
          <w:szCs w:val="18"/>
        </w:rPr>
        <w:softHyphen/>
        <w:t>do für J. Andrea Dossena, 1544.</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Pighius 1568 = Pighius, Stephanus: Themis dea</w:t>
      </w:r>
      <w:r>
        <w:rPr>
          <w:sz w:val="18"/>
          <w:szCs w:val="18"/>
        </w:rPr>
        <w:t xml:space="preserve"> </w:t>
      </w:r>
      <w:r>
        <w:rPr>
          <w:rStyle w:val="pplr8t-x-x-901"/>
          <w:sz w:val="18"/>
          <w:szCs w:val="18"/>
        </w:rPr>
        <w:t>seu de lege divina. – Antwerpen: 1568.</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Schich 2009</w:t>
      </w:r>
      <w:r>
        <w:rPr>
          <w:rStyle w:val="biblabel"/>
          <w:sz w:val="18"/>
          <w:szCs w:val="18"/>
        </w:rPr>
        <w:t xml:space="preserve"> = </w:t>
      </w:r>
      <w:r>
        <w:rPr>
          <w:rStyle w:val="pplr8t-x-x-901"/>
          <w:sz w:val="18"/>
          <w:szCs w:val="18"/>
        </w:rPr>
        <w:t>Schich, Maximilian: Rezeption und</w:t>
      </w:r>
      <w:r>
        <w:rPr>
          <w:sz w:val="18"/>
          <w:szCs w:val="18"/>
        </w:rPr>
        <w:t xml:space="preserve"> </w:t>
      </w:r>
      <w:r>
        <w:rPr>
          <w:rStyle w:val="pplr8t-x-x-901"/>
          <w:sz w:val="18"/>
          <w:szCs w:val="18"/>
        </w:rPr>
        <w:t>Tradierung. Der CENSUS und visuelle</w:t>
      </w:r>
      <w:r>
        <w:rPr>
          <w:sz w:val="18"/>
          <w:szCs w:val="18"/>
        </w:rPr>
        <w:t xml:space="preserve"> </w:t>
      </w:r>
      <w:r>
        <w:rPr>
          <w:rStyle w:val="pplr8t-x-x-901"/>
          <w:sz w:val="18"/>
          <w:szCs w:val="18"/>
        </w:rPr>
        <w:t>Dokumente zu den Thermen in Rom. –</w:t>
      </w:r>
      <w:r>
        <w:rPr>
          <w:sz w:val="18"/>
          <w:szCs w:val="18"/>
        </w:rPr>
        <w:t xml:space="preserve"> </w:t>
      </w:r>
      <w:r>
        <w:rPr>
          <w:rStyle w:val="pplr8t-x-x-901"/>
          <w:sz w:val="18"/>
          <w:szCs w:val="18"/>
        </w:rPr>
        <w:t>München: Biering &amp; Brinkmann, 2009.</w:t>
      </w:r>
    </w:p>
    <w:p w:rsidR="00307781" w:rsidRDefault="00743576">
      <w:pPr>
        <w:pStyle w:val="bibitem"/>
        <w:spacing w:line="276" w:lineRule="auto"/>
        <w:ind w:left="284" w:hanging="284"/>
        <w:rPr>
          <w:sz w:val="18"/>
          <w:szCs w:val="18"/>
        </w:rPr>
      </w:pPr>
      <w:r>
        <w:rPr>
          <w:sz w:val="18"/>
          <w:szCs w:val="18"/>
        </w:rPr>
        <w:t>Serlio/Strada 1575 = Serlio, Sebastiano; Strada, Jacopo (Hg.): Il Settimo Libro d'Architettura. – Frankfurt/M.: Wechel, 1575</w:t>
      </w:r>
    </w:p>
    <w:p w:rsidR="00307781" w:rsidRDefault="00743576">
      <w:pPr>
        <w:pStyle w:val="bibitem"/>
        <w:spacing w:line="276" w:lineRule="auto"/>
        <w:ind w:left="284" w:hanging="284"/>
        <w:rPr>
          <w:sz w:val="18"/>
          <w:szCs w:val="18"/>
        </w:rPr>
      </w:pPr>
      <w:r>
        <w:rPr>
          <w:rStyle w:val="pplr8t-x-x-901"/>
          <w:sz w:val="18"/>
          <w:szCs w:val="18"/>
        </w:rPr>
        <w:t>Strada 1553 = Strada, Jacopo: Epitome Thesavri</w:t>
      </w:r>
      <w:r>
        <w:rPr>
          <w:sz w:val="18"/>
          <w:szCs w:val="18"/>
        </w:rPr>
        <w:t xml:space="preserve"> </w:t>
      </w:r>
      <w:r>
        <w:rPr>
          <w:rStyle w:val="pplr8t-x-x-901"/>
          <w:sz w:val="18"/>
          <w:szCs w:val="18"/>
        </w:rPr>
        <w:t>Antiqvitatvm. – Lyon: Strada &amp;</w:t>
      </w:r>
      <w:r>
        <w:rPr>
          <w:sz w:val="18"/>
          <w:szCs w:val="18"/>
        </w:rPr>
        <w:t xml:space="preserve"> </w:t>
      </w:r>
      <w:r>
        <w:rPr>
          <w:rStyle w:val="pplr8t-x-x-901"/>
          <w:sz w:val="18"/>
          <w:szCs w:val="18"/>
        </w:rPr>
        <w:t>Guerin, 1553. / französische Ausgabe:</w:t>
      </w:r>
      <w:r>
        <w:rPr>
          <w:sz w:val="18"/>
          <w:szCs w:val="18"/>
        </w:rPr>
        <w:t xml:space="preserve"> </w:t>
      </w:r>
      <w:r>
        <w:rPr>
          <w:rStyle w:val="pplr8t-x-x-901"/>
          <w:sz w:val="18"/>
          <w:szCs w:val="18"/>
        </w:rPr>
        <w:t>Epito</w:t>
      </w:r>
      <w:r>
        <w:rPr>
          <w:rStyle w:val="pplr8t-x-x-901"/>
          <w:sz w:val="18"/>
          <w:szCs w:val="18"/>
        </w:rPr>
        <w:softHyphen/>
        <w:t>me du thresor des antiquitez. –</w:t>
      </w:r>
      <w:r>
        <w:rPr>
          <w:sz w:val="18"/>
          <w:szCs w:val="18"/>
        </w:rPr>
        <w:t xml:space="preserve"> </w:t>
      </w:r>
      <w:r>
        <w:rPr>
          <w:rStyle w:val="pplr8t-x-x-901"/>
          <w:sz w:val="18"/>
          <w:szCs w:val="18"/>
        </w:rPr>
        <w:t>Übersetzung Jean Louveau. – Lyon:</w:t>
      </w:r>
      <w:r>
        <w:rPr>
          <w:sz w:val="18"/>
          <w:szCs w:val="18"/>
        </w:rPr>
        <w:t xml:space="preserve"> </w:t>
      </w:r>
      <w:r>
        <w:rPr>
          <w:rStyle w:val="pplr8t-x-x-901"/>
          <w:sz w:val="18"/>
          <w:szCs w:val="18"/>
        </w:rPr>
        <w:t>Strada &amp; Guerin, 1553.</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Thoenes 1983 = Thoenes, Christof:</w:t>
      </w:r>
      <w:r>
        <w:rPr>
          <w:sz w:val="18"/>
          <w:szCs w:val="18"/>
        </w:rPr>
        <w:t xml:space="preserve"> </w:t>
      </w:r>
      <w:r>
        <w:rPr>
          <w:rStyle w:val="pplr8t-x-x-901"/>
          <w:sz w:val="18"/>
          <w:szCs w:val="18"/>
        </w:rPr>
        <w:t>Vignolas «Regola delli cinque ordini».</w:t>
      </w:r>
      <w:r>
        <w:rPr>
          <w:sz w:val="18"/>
          <w:szCs w:val="18"/>
        </w:rPr>
        <w:t xml:space="preserve"> </w:t>
      </w:r>
      <w:r>
        <w:rPr>
          <w:rStyle w:val="pplr8t-x-x-901"/>
          <w:sz w:val="18"/>
          <w:szCs w:val="18"/>
        </w:rPr>
        <w:t>– In: Römisches Jahrbuch für</w:t>
      </w:r>
      <w:r>
        <w:rPr>
          <w:sz w:val="18"/>
          <w:szCs w:val="18"/>
        </w:rPr>
        <w:t xml:space="preserve"> </w:t>
      </w:r>
      <w:r>
        <w:rPr>
          <w:rStyle w:val="pplr8t-x-x-901"/>
          <w:sz w:val="18"/>
          <w:szCs w:val="18"/>
        </w:rPr>
        <w:t>Kunstgeschichte 20 (1983) S. 346–376.</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Tolomei 1547 = Tolomei, Claudio: De le lettere</w:t>
      </w:r>
      <w:r>
        <w:rPr>
          <w:sz w:val="18"/>
          <w:szCs w:val="18"/>
        </w:rPr>
        <w:t xml:space="preserve"> </w:t>
      </w:r>
      <w:r>
        <w:rPr>
          <w:rStyle w:val="pplr8t-x-x-901"/>
          <w:sz w:val="18"/>
          <w:szCs w:val="18"/>
        </w:rPr>
        <w:t>di M. Claudio To</w:t>
      </w:r>
      <w:r>
        <w:rPr>
          <w:rStyle w:val="pplr8t-x-x-901"/>
          <w:sz w:val="18"/>
          <w:szCs w:val="18"/>
        </w:rPr>
        <w:softHyphen/>
        <w:t>lomei libri sette. –</w:t>
      </w:r>
      <w:r>
        <w:rPr>
          <w:sz w:val="18"/>
          <w:szCs w:val="18"/>
        </w:rPr>
        <w:t xml:space="preserve"> </w:t>
      </w:r>
      <w:r>
        <w:rPr>
          <w:rStyle w:val="pplr8t-x-x-901"/>
          <w:sz w:val="18"/>
          <w:szCs w:val="18"/>
        </w:rPr>
        <w:t>Venezia: G. Giolito de Ferrari, 1547.</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Vasari 1568 = Vasari, Giorgio: Le</w:t>
      </w:r>
      <w:r>
        <w:rPr>
          <w:sz w:val="18"/>
          <w:szCs w:val="18"/>
        </w:rPr>
        <w:t xml:space="preserve"> </w:t>
      </w:r>
      <w:r>
        <w:rPr>
          <w:rStyle w:val="pplr8t-x-x-901"/>
          <w:sz w:val="18"/>
          <w:szCs w:val="18"/>
        </w:rPr>
        <w:t>vite de’ piu eccellenti pittori, scultori,</w:t>
      </w:r>
      <w:r>
        <w:rPr>
          <w:sz w:val="18"/>
          <w:szCs w:val="18"/>
        </w:rPr>
        <w:t xml:space="preserve"> </w:t>
      </w:r>
      <w:r>
        <w:rPr>
          <w:rStyle w:val="pplr8t-x-x-901"/>
          <w:sz w:val="18"/>
          <w:szCs w:val="18"/>
        </w:rPr>
        <w:t>e architettori. – Venedig: 1568.</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Vignola 1562 = Barozzi da Vignola, Jacopo: Regola</w:t>
      </w:r>
      <w:r>
        <w:rPr>
          <w:sz w:val="18"/>
          <w:szCs w:val="18"/>
        </w:rPr>
        <w:t xml:space="preserve"> </w:t>
      </w:r>
      <w:r>
        <w:rPr>
          <w:rStyle w:val="pplr8t-x-x-901"/>
          <w:sz w:val="18"/>
          <w:szCs w:val="18"/>
        </w:rPr>
        <w:t>delli cinque ordini d’architettura. –</w:t>
      </w:r>
      <w:r>
        <w:rPr>
          <w:sz w:val="18"/>
          <w:szCs w:val="18"/>
        </w:rPr>
        <w:t xml:space="preserve"> </w:t>
      </w:r>
      <w:r>
        <w:rPr>
          <w:rStyle w:val="pplr8t-x-x-901"/>
          <w:sz w:val="18"/>
          <w:szCs w:val="18"/>
        </w:rPr>
        <w:t>Roma: [Labacco?], 1562.</w:t>
      </w:r>
      <w:r>
        <w:rPr>
          <w:sz w:val="18"/>
          <w:szCs w:val="18"/>
        </w:rPr>
        <w:t xml:space="preserve"> </w:t>
      </w:r>
    </w:p>
    <w:p w:rsidR="00307781" w:rsidRDefault="00743576">
      <w:pPr>
        <w:pStyle w:val="bibitem"/>
        <w:spacing w:line="276" w:lineRule="auto"/>
        <w:ind w:left="284" w:hanging="284"/>
        <w:rPr>
          <w:sz w:val="18"/>
          <w:szCs w:val="18"/>
        </w:rPr>
      </w:pPr>
      <w:r>
        <w:rPr>
          <w:rStyle w:val="pplr8t-x-x-901"/>
          <w:sz w:val="18"/>
          <w:szCs w:val="18"/>
        </w:rPr>
        <w:t>Vignola/Danti 1583 = Barozzi da Vignola, Jacopo; Danti</w:t>
      </w:r>
      <w:r>
        <w:rPr>
          <w:sz w:val="18"/>
          <w:szCs w:val="18"/>
        </w:rPr>
        <w:t xml:space="preserve"> </w:t>
      </w:r>
      <w:r>
        <w:rPr>
          <w:rStyle w:val="pplr8t-x-x-901"/>
          <w:sz w:val="18"/>
          <w:szCs w:val="18"/>
        </w:rPr>
        <w:t>Egnatio: Le due regole della</w:t>
      </w:r>
      <w:r>
        <w:rPr>
          <w:sz w:val="18"/>
          <w:szCs w:val="18"/>
        </w:rPr>
        <w:t xml:space="preserve"> </w:t>
      </w:r>
      <w:r>
        <w:rPr>
          <w:rStyle w:val="pplr8t-x-x-901"/>
          <w:sz w:val="18"/>
          <w:szCs w:val="18"/>
        </w:rPr>
        <w:t>prospettiva pratica. – Rom: Zanetti,</w:t>
      </w:r>
      <w:r>
        <w:rPr>
          <w:sz w:val="18"/>
          <w:szCs w:val="18"/>
        </w:rPr>
        <w:t xml:space="preserve"> </w:t>
      </w:r>
      <w:r>
        <w:rPr>
          <w:rStyle w:val="pplr8t-x-x-901"/>
          <w:sz w:val="18"/>
          <w:szCs w:val="18"/>
        </w:rPr>
        <w:t>1583.</w:t>
      </w:r>
      <w:r>
        <w:rPr>
          <w:sz w:val="18"/>
          <w:szCs w:val="18"/>
        </w:rPr>
        <w:t xml:space="preserve"> </w:t>
      </w:r>
    </w:p>
    <w:p w:rsidR="00307781" w:rsidRDefault="00743576">
      <w:pPr>
        <w:pStyle w:val="bibitem"/>
        <w:spacing w:line="276" w:lineRule="auto"/>
        <w:ind w:left="284" w:hanging="284"/>
      </w:pPr>
      <w:r>
        <w:rPr>
          <w:rStyle w:val="pplr8t-x-x-901"/>
          <w:sz w:val="18"/>
          <w:szCs w:val="18"/>
        </w:rPr>
        <w:t>Wrede 1993 = Wrede, Henning: Die Themis Dea</w:t>
      </w:r>
      <w:r>
        <w:rPr>
          <w:sz w:val="18"/>
          <w:szCs w:val="18"/>
        </w:rPr>
        <w:t xml:space="preserve"> </w:t>
      </w:r>
      <w:r>
        <w:rPr>
          <w:rStyle w:val="pplr8t-x-x-901"/>
          <w:sz w:val="18"/>
          <w:szCs w:val="18"/>
        </w:rPr>
        <w:t>des S. V. Pighi</w:t>
      </w:r>
      <w:r>
        <w:rPr>
          <w:rStyle w:val="pplr8t-x-x-901"/>
          <w:sz w:val="18"/>
          <w:szCs w:val="18"/>
        </w:rPr>
        <w:softHyphen/>
        <w:t>us. – In: Crawford,</w:t>
      </w:r>
      <w:r>
        <w:rPr>
          <w:sz w:val="18"/>
          <w:szCs w:val="18"/>
        </w:rPr>
        <w:t xml:space="preserve"> </w:t>
      </w:r>
      <w:r>
        <w:rPr>
          <w:rStyle w:val="pplr8t-x-x-901"/>
          <w:sz w:val="18"/>
          <w:szCs w:val="18"/>
        </w:rPr>
        <w:t>Michael H. (Hg.): Antonio Agustín</w:t>
      </w:r>
      <w:r>
        <w:rPr>
          <w:sz w:val="18"/>
          <w:szCs w:val="18"/>
        </w:rPr>
        <w:t xml:space="preserve"> </w:t>
      </w:r>
      <w:r>
        <w:rPr>
          <w:rStyle w:val="pplr8t-x-x-901"/>
          <w:sz w:val="18"/>
          <w:szCs w:val="18"/>
        </w:rPr>
        <w:t>bet</w:t>
      </w:r>
      <w:r>
        <w:rPr>
          <w:rStyle w:val="pplr8t-x-x-901"/>
          <w:sz w:val="18"/>
          <w:szCs w:val="18"/>
        </w:rPr>
        <w:softHyphen/>
        <w:t>ween Renaissance</w:t>
      </w:r>
      <w:r>
        <w:rPr>
          <w:sz w:val="18"/>
          <w:szCs w:val="18"/>
        </w:rPr>
        <w:t xml:space="preserve"> </w:t>
      </w:r>
      <w:r>
        <w:rPr>
          <w:rStyle w:val="pplr8t-x-x-901"/>
          <w:sz w:val="18"/>
          <w:szCs w:val="18"/>
        </w:rPr>
        <w:t>and Counter-Reformation. – London:</w:t>
      </w:r>
      <w:r>
        <w:rPr>
          <w:sz w:val="18"/>
          <w:szCs w:val="18"/>
        </w:rPr>
        <w:t xml:space="preserve"> </w:t>
      </w:r>
      <w:r>
        <w:rPr>
          <w:rStyle w:val="pplr8t-x-x-901"/>
          <w:sz w:val="18"/>
          <w:szCs w:val="18"/>
        </w:rPr>
        <w:t>War</w:t>
      </w:r>
      <w:r>
        <w:rPr>
          <w:rStyle w:val="pplr8t-x-x-901"/>
          <w:sz w:val="18"/>
          <w:szCs w:val="18"/>
        </w:rPr>
        <w:softHyphen/>
        <w:t>burg Institute, 1993, S. 189–201.</w:t>
      </w:r>
      <w:r>
        <w:rPr>
          <w:sz w:val="18"/>
          <w:szCs w:val="18"/>
        </w:rPr>
        <w:t xml:space="preserve"> </w:t>
      </w:r>
    </w:p>
    <w:sectPr w:rsidR="00307781">
      <w:footerReference w:type="even" r:id="rId34"/>
      <w:footerReference w:type="default" r:id="rId35"/>
      <w:pgSz w:w="6220" w:h="10762"/>
      <w:pgMar w:top="851" w:right="680" w:bottom="851" w:left="680" w:header="0" w:footer="709" w:gutter="0"/>
      <w:cols w:space="720"/>
      <w:formProt w:val="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87B67" w:rsidRDefault="00587B67">
      <w:pPr>
        <w:spacing w:before="0" w:after="0" w:line="240" w:lineRule="auto"/>
      </w:pPr>
      <w:r>
        <w:separator/>
      </w:r>
    </w:p>
  </w:endnote>
  <w:endnote w:type="continuationSeparator" w:id="0">
    <w:p w:rsidR="00587B67" w:rsidRDefault="00587B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Liberation Sans">
    <w:altName w:val="Arial"/>
    <w:panose1 w:val="020B0604020202020204"/>
    <w:charset w:val="01"/>
    <w:family w:val="roman"/>
    <w:pitch w:val="variable"/>
  </w:font>
  <w:font w:name="PingFang SC">
    <w:panose1 w:val="020B0400000000000000"/>
    <w:charset w:val="86"/>
    <w:family w:val="swiss"/>
    <w:pitch w:val="variable"/>
    <w:sig w:usb0="A00002FF" w:usb1="7ACFFDFB" w:usb2="00000017" w:usb3="00000000" w:csb0="00040001" w:csb1="00000000"/>
  </w:font>
  <w:font w:name="Lucida Sans">
    <w:panose1 w:val="020B0602030504020204"/>
    <w:charset w:val="4D"/>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1927147066"/>
      <w:docPartObj>
        <w:docPartGallery w:val="Page Numbers (Bottom of Page)"/>
        <w:docPartUnique/>
      </w:docPartObj>
    </w:sdtPr>
    <w:sdtContent>
      <w:p w:rsidR="00743576" w:rsidRDefault="00743576" w:rsidP="00743576">
        <w:pPr>
          <w:pStyle w:val="Fuzeile"/>
          <w:framePr w:wrap="none" w:vAnchor="text" w:hAnchor="margin" w:xAlign="outside"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76</w:t>
        </w:r>
        <w:r>
          <w:rPr>
            <w:rStyle w:val="Seitenzahl"/>
          </w:rPr>
          <w:fldChar w:fldCharType="end"/>
        </w:r>
      </w:p>
    </w:sdtContent>
  </w:sdt>
  <w:p w:rsidR="00743576" w:rsidRDefault="00743576" w:rsidP="00D0778F">
    <w:pPr>
      <w:pStyle w:val="Fuzeile"/>
      <w:ind w:right="360" w:firstLine="360"/>
    </w:pPr>
  </w:p>
  <w:p w:rsidR="00743576" w:rsidRDefault="00743576">
    <w:pPr>
      <w:pStyle w:val="Fuzeile"/>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1498114424"/>
      <w:docPartObj>
        <w:docPartGallery w:val="Page Numbers (Bottom of Page)"/>
        <w:docPartUnique/>
      </w:docPartObj>
    </w:sdtPr>
    <w:sdtContent>
      <w:p w:rsidR="00743576" w:rsidRDefault="00743576" w:rsidP="00743576">
        <w:pPr>
          <w:pStyle w:val="Fuzeile"/>
          <w:framePr w:wrap="none" w:vAnchor="text" w:hAnchor="margin" w:xAlign="outside"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5</w:t>
        </w:r>
        <w:r>
          <w:rPr>
            <w:rStyle w:val="Seitenzahl"/>
          </w:rPr>
          <w:fldChar w:fldCharType="end"/>
        </w:r>
      </w:p>
    </w:sdtContent>
  </w:sdt>
  <w:p w:rsidR="00743576" w:rsidRDefault="00743576" w:rsidP="00D0778F">
    <w:pPr>
      <w:pStyle w:val="Fuzeile"/>
      <w:ind w:right="360" w:firstLine="360"/>
    </w:pPr>
  </w:p>
  <w:p w:rsidR="00743576" w:rsidRDefault="00743576">
    <w:pPr>
      <w:pStyle w:val="Fuzeile"/>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87B67" w:rsidRDefault="00587B67">
      <w:pPr>
        <w:spacing w:before="0" w:after="0" w:line="240" w:lineRule="auto"/>
      </w:pPr>
      <w:r>
        <w:separator/>
      </w:r>
    </w:p>
  </w:footnote>
  <w:footnote w:type="continuationSeparator" w:id="0">
    <w:p w:rsidR="00587B67" w:rsidRDefault="00587B67">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mirrorMargins/>
  <w:defaultTabStop w:val="708"/>
  <w:autoHyphenation/>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7781"/>
    <w:rsid w:val="00020E0D"/>
    <w:rsid w:val="00042A86"/>
    <w:rsid w:val="00054F8B"/>
    <w:rsid w:val="00067774"/>
    <w:rsid w:val="00086ED9"/>
    <w:rsid w:val="00093458"/>
    <w:rsid w:val="000A246F"/>
    <w:rsid w:val="000E56B4"/>
    <w:rsid w:val="001D47E4"/>
    <w:rsid w:val="0021243A"/>
    <w:rsid w:val="00244C86"/>
    <w:rsid w:val="00257E7B"/>
    <w:rsid w:val="002E5F16"/>
    <w:rsid w:val="0030621E"/>
    <w:rsid w:val="00307781"/>
    <w:rsid w:val="003108FA"/>
    <w:rsid w:val="00314F15"/>
    <w:rsid w:val="003265D6"/>
    <w:rsid w:val="0033103F"/>
    <w:rsid w:val="00335A04"/>
    <w:rsid w:val="003456B8"/>
    <w:rsid w:val="003674FF"/>
    <w:rsid w:val="003829AD"/>
    <w:rsid w:val="003A3A82"/>
    <w:rsid w:val="003A7AD6"/>
    <w:rsid w:val="003B6FED"/>
    <w:rsid w:val="0040461E"/>
    <w:rsid w:val="00425059"/>
    <w:rsid w:val="0044391E"/>
    <w:rsid w:val="004901F6"/>
    <w:rsid w:val="004E038C"/>
    <w:rsid w:val="004E54FA"/>
    <w:rsid w:val="00576C10"/>
    <w:rsid w:val="00587B67"/>
    <w:rsid w:val="00592B21"/>
    <w:rsid w:val="005A0935"/>
    <w:rsid w:val="005B071B"/>
    <w:rsid w:val="005D7C7D"/>
    <w:rsid w:val="006105D6"/>
    <w:rsid w:val="00623054"/>
    <w:rsid w:val="006378F9"/>
    <w:rsid w:val="00637C11"/>
    <w:rsid w:val="00673AAE"/>
    <w:rsid w:val="00681B2B"/>
    <w:rsid w:val="006B7B52"/>
    <w:rsid w:val="006D4B32"/>
    <w:rsid w:val="00743576"/>
    <w:rsid w:val="00791C5B"/>
    <w:rsid w:val="007959EC"/>
    <w:rsid w:val="008040C6"/>
    <w:rsid w:val="00810B04"/>
    <w:rsid w:val="008171F6"/>
    <w:rsid w:val="0083492B"/>
    <w:rsid w:val="0089208D"/>
    <w:rsid w:val="008E5D62"/>
    <w:rsid w:val="00934EC5"/>
    <w:rsid w:val="009555C2"/>
    <w:rsid w:val="009F4BF0"/>
    <w:rsid w:val="009F5995"/>
    <w:rsid w:val="00A66C7A"/>
    <w:rsid w:val="00A66D69"/>
    <w:rsid w:val="00A76919"/>
    <w:rsid w:val="00AF3CBE"/>
    <w:rsid w:val="00B142E2"/>
    <w:rsid w:val="00B17D8C"/>
    <w:rsid w:val="00B61220"/>
    <w:rsid w:val="00BB1D6D"/>
    <w:rsid w:val="00BC6DCC"/>
    <w:rsid w:val="00BE30CB"/>
    <w:rsid w:val="00C60872"/>
    <w:rsid w:val="00C80253"/>
    <w:rsid w:val="00C80B94"/>
    <w:rsid w:val="00D0778F"/>
    <w:rsid w:val="00D3074C"/>
    <w:rsid w:val="00D46E34"/>
    <w:rsid w:val="00D75CFD"/>
    <w:rsid w:val="00DC4FB9"/>
    <w:rsid w:val="00DF5D07"/>
    <w:rsid w:val="00E7749E"/>
    <w:rsid w:val="00E963D3"/>
    <w:rsid w:val="00F067A5"/>
    <w:rsid w:val="00F523C5"/>
    <w:rsid w:val="00F86273"/>
    <w:rsid w:val="00FA385E"/>
    <w:rsid w:val="00FF7F7D"/>
  </w:rsids>
  <m:mathPr>
    <m:mathFont m:val="Cambria Math"/>
    <m:brkBin m:val="before"/>
    <m:brkBinSub m:val="--"/>
    <m:smallFrac m:val="0"/>
    <m:dispDef/>
    <m:lMargin m:val="0"/>
    <m:rMargin m:val="0"/>
    <m:defJc m:val="centerGroup"/>
    <m:wrapIndent m:val="1440"/>
    <m:intLim m:val="subSup"/>
    <m:naryLim m:val="undOvr"/>
  </m:mathPr>
  <w:themeFontLang w:val="de-CH" w:eastAsia="" w:bidi=""/>
  <w:clrSchemeMapping w:bg1="light1" w:t1="dark1" w:bg2="light2" w:t2="dark2" w:accent1="accent1" w:accent2="accent2" w:accent3="accent3" w:accent4="accent4" w:accent5="accent5" w:accent6="accent6" w:hyperlink="hyperlink" w:followedHyperlink="followedHyperlink"/>
  <w:decimalSymbol w:val="."/>
  <w:listSeparator w:val=";"/>
  <w14:docId w14:val="3BD52DDF"/>
  <w15:docId w15:val="{45D4C456-9027-A64C-A747-A1AAE6BFD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CH"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5926BB"/>
    <w:pPr>
      <w:spacing w:before="280" w:after="280" w:line="280" w:lineRule="exact"/>
      <w:contextualSpacing/>
      <w:jc w:val="both"/>
    </w:pPr>
    <w:rPr>
      <w:rFonts w:eastAsiaTheme="minorEastAsia"/>
      <w:szCs w:val="24"/>
    </w:rPr>
  </w:style>
  <w:style w:type="paragraph" w:styleId="berschrift1">
    <w:name w:val="heading 1"/>
    <w:basedOn w:val="Standard"/>
    <w:uiPriority w:val="9"/>
    <w:qFormat/>
    <w:pPr>
      <w:spacing w:beforeAutospacing="1" w:afterAutospacing="1"/>
      <w:outlineLvl w:val="0"/>
    </w:pPr>
    <w:rPr>
      <w:b/>
      <w:bCs/>
      <w:kern w:val="2"/>
      <w:sz w:val="48"/>
      <w:szCs w:val="48"/>
    </w:rPr>
  </w:style>
  <w:style w:type="paragraph" w:styleId="berschrift2">
    <w:name w:val="heading 2"/>
    <w:basedOn w:val="Standard"/>
    <w:uiPriority w:val="9"/>
    <w:qFormat/>
    <w:pPr>
      <w:spacing w:beforeAutospacing="1" w:afterAutospacing="1"/>
      <w:outlineLvl w:val="1"/>
    </w:pPr>
    <w:rPr>
      <w:b/>
      <w:bCs/>
      <w:sz w:val="36"/>
      <w:szCs w:val="36"/>
    </w:rPr>
  </w:style>
  <w:style w:type="paragraph" w:styleId="berschrift3">
    <w:name w:val="heading 3"/>
    <w:basedOn w:val="Standard"/>
    <w:uiPriority w:val="9"/>
    <w:qFormat/>
    <w:pPr>
      <w:spacing w:beforeAutospacing="1" w:afterAutospacing="1"/>
      <w:outlineLvl w:val="2"/>
    </w:pPr>
    <w:rPr>
      <w:b/>
      <w:bCs/>
      <w:sz w:val="27"/>
      <w:szCs w:val="27"/>
    </w:rPr>
  </w:style>
  <w:style w:type="paragraph" w:styleId="berschrift4">
    <w:name w:val="heading 4"/>
    <w:basedOn w:val="Standard"/>
    <w:uiPriority w:val="9"/>
    <w:qFormat/>
    <w:pPr>
      <w:spacing w:beforeAutospacing="1" w:afterAutospacing="1"/>
      <w:outlineLvl w:val="3"/>
    </w:pPr>
    <w:rPr>
      <w:b/>
      <w:bCs/>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Internetverknpfung">
    <w:name w:val="Internetverknüpfung"/>
    <w:basedOn w:val="Absatz-Standardschriftart"/>
    <w:uiPriority w:val="99"/>
    <w:semiHidden/>
    <w:unhideWhenUsed/>
    <w:rPr>
      <w:color w:val="0000FF"/>
      <w:u w:val="single"/>
    </w:rPr>
  </w:style>
  <w:style w:type="character" w:styleId="BesuchterLink">
    <w:name w:val="FollowedHyperlink"/>
    <w:basedOn w:val="Absatz-Standardschriftart"/>
    <w:uiPriority w:val="99"/>
    <w:semiHidden/>
    <w:unhideWhenUsed/>
    <w:qFormat/>
    <w:rPr>
      <w:color w:val="800080"/>
      <w:u w:val="single"/>
    </w:rPr>
  </w:style>
  <w:style w:type="character" w:customStyle="1" w:styleId="berschrift1Zchn">
    <w:name w:val="Überschrift 1 Zchn"/>
    <w:basedOn w:val="Absatz-Standardschriftart"/>
    <w:uiPriority w:val="9"/>
    <w:qFormat/>
    <w:rPr>
      <w:rFonts w:asciiTheme="majorHAnsi" w:eastAsiaTheme="majorEastAsia" w:hAnsiTheme="majorHAnsi" w:cstheme="majorBidi"/>
      <w:color w:val="2F5496" w:themeColor="accent1" w:themeShade="BF"/>
      <w:sz w:val="32"/>
      <w:szCs w:val="32"/>
    </w:rPr>
  </w:style>
  <w:style w:type="character" w:customStyle="1" w:styleId="berschrift2Zchn">
    <w:name w:val="Überschrift 2 Zchn"/>
    <w:basedOn w:val="Absatz-Standardschriftart"/>
    <w:uiPriority w:val="9"/>
    <w:semiHidden/>
    <w:qFormat/>
    <w:rPr>
      <w:rFonts w:asciiTheme="majorHAnsi" w:eastAsiaTheme="majorEastAsia" w:hAnsiTheme="majorHAnsi" w:cstheme="majorBidi"/>
      <w:color w:val="2F5496" w:themeColor="accent1" w:themeShade="BF"/>
      <w:sz w:val="26"/>
      <w:szCs w:val="26"/>
    </w:rPr>
  </w:style>
  <w:style w:type="character" w:customStyle="1" w:styleId="thank-mark">
    <w:name w:val="thank-mark"/>
    <w:basedOn w:val="Absatz-Standardschriftart"/>
    <w:qFormat/>
    <w:rPr>
      <w:vertAlign w:val="superscript"/>
    </w:rPr>
  </w:style>
  <w:style w:type="character" w:customStyle="1" w:styleId="tex">
    <w:name w:val="tex"/>
    <w:basedOn w:val="Absatz-Standardschriftart"/>
    <w:qFormat/>
    <w:rPr>
      <w:spacing w:val="-30"/>
    </w:rPr>
  </w:style>
  <w:style w:type="character" w:customStyle="1" w:styleId="a">
    <w:name w:val="a"/>
    <w:basedOn w:val="Absatz-Standardschriftart"/>
    <w:qFormat/>
  </w:style>
  <w:style w:type="character" w:customStyle="1" w:styleId="id">
    <w:name w:val="id"/>
    <w:basedOn w:val="Absatz-Standardschriftart"/>
    <w:qFormat/>
  </w:style>
  <w:style w:type="character" w:customStyle="1" w:styleId="e">
    <w:name w:val="e"/>
    <w:basedOn w:val="Absatz-Standardschriftart"/>
    <w:qFormat/>
  </w:style>
  <w:style w:type="character" w:customStyle="1" w:styleId="e1">
    <w:name w:val="e1"/>
    <w:basedOn w:val="Absatz-Standardschriftart"/>
    <w:qFormat/>
    <w:rPr>
      <w:strike w:val="0"/>
      <w:dstrike w:val="0"/>
      <w:u w:val="none"/>
      <w:effect w:val="none"/>
    </w:rPr>
  </w:style>
  <w:style w:type="character" w:customStyle="1" w:styleId="a1">
    <w:name w:val="a1"/>
    <w:basedOn w:val="Absatz-Standardschriftart"/>
    <w:qFormat/>
    <w:rPr>
      <w:sz w:val="20"/>
      <w:szCs w:val="20"/>
    </w:rPr>
  </w:style>
  <w:style w:type="character" w:customStyle="1" w:styleId="id1">
    <w:name w:val="id1"/>
    <w:basedOn w:val="Absatz-Standardschriftart"/>
    <w:qFormat/>
    <w:rPr>
      <w:b/>
      <w:bCs/>
    </w:rPr>
  </w:style>
  <w:style w:type="character" w:customStyle="1" w:styleId="pplr8t-x-x-1201">
    <w:name w:val="pplr8t-x-x-1201"/>
    <w:basedOn w:val="Absatz-Standardschriftart"/>
    <w:qFormat/>
    <w:rPr>
      <w:sz w:val="29"/>
      <w:szCs w:val="29"/>
    </w:rPr>
  </w:style>
  <w:style w:type="character" w:customStyle="1" w:styleId="sectiontoc1">
    <w:name w:val="sectiontoc1"/>
    <w:basedOn w:val="Absatz-Standardschriftart"/>
    <w:qFormat/>
  </w:style>
  <w:style w:type="character" w:customStyle="1" w:styleId="chaptertoc1">
    <w:name w:val="chaptertoc1"/>
    <w:basedOn w:val="Absatz-Standardschriftart"/>
    <w:qFormat/>
    <w:rPr>
      <w:b/>
      <w:bCs/>
    </w:rPr>
  </w:style>
  <w:style w:type="character" w:customStyle="1" w:styleId="pplri8t-1">
    <w:name w:val="pplri8t-1"/>
    <w:basedOn w:val="Absatz-Standardschriftart"/>
    <w:qFormat/>
    <w:rPr>
      <w:i/>
      <w:iCs/>
    </w:rPr>
  </w:style>
  <w:style w:type="character" w:customStyle="1" w:styleId="footnote-mark">
    <w:name w:val="footnote-mark"/>
    <w:basedOn w:val="Absatz-Standardschriftart"/>
    <w:qFormat/>
  </w:style>
  <w:style w:type="character" w:customStyle="1" w:styleId="berschrift4Zchn">
    <w:name w:val="Überschrift 4 Zchn"/>
    <w:basedOn w:val="Absatz-Standardschriftart"/>
    <w:uiPriority w:val="9"/>
    <w:semiHidden/>
    <w:qFormat/>
    <w:rPr>
      <w:rFonts w:asciiTheme="majorHAnsi" w:eastAsiaTheme="majorEastAsia" w:hAnsiTheme="majorHAnsi" w:cstheme="majorBidi"/>
      <w:i/>
      <w:iCs/>
      <w:color w:val="2F5496" w:themeColor="accent1" w:themeShade="BF"/>
      <w:sz w:val="24"/>
      <w:szCs w:val="24"/>
    </w:rPr>
  </w:style>
  <w:style w:type="character" w:customStyle="1" w:styleId="titlemark">
    <w:name w:val="titlemark"/>
    <w:basedOn w:val="Absatz-Standardschriftart"/>
    <w:qFormat/>
  </w:style>
  <w:style w:type="character" w:customStyle="1" w:styleId="berschrift3Zchn">
    <w:name w:val="Überschrift 3 Zchn"/>
    <w:basedOn w:val="Absatz-Standardschriftart"/>
    <w:uiPriority w:val="9"/>
    <w:semiHidden/>
    <w:qFormat/>
    <w:rPr>
      <w:rFonts w:asciiTheme="majorHAnsi" w:eastAsiaTheme="majorEastAsia" w:hAnsiTheme="majorHAnsi" w:cstheme="majorBidi"/>
      <w:color w:val="1F3763" w:themeColor="accent1" w:themeShade="7F"/>
      <w:sz w:val="24"/>
      <w:szCs w:val="24"/>
    </w:rPr>
  </w:style>
  <w:style w:type="character" w:customStyle="1" w:styleId="biblabel">
    <w:name w:val="biblabel"/>
    <w:basedOn w:val="Absatz-Standardschriftart"/>
    <w:qFormat/>
  </w:style>
  <w:style w:type="character" w:customStyle="1" w:styleId="bibsp">
    <w:name w:val="bibsp"/>
    <w:basedOn w:val="Absatz-Standardschriftart"/>
    <w:qFormat/>
  </w:style>
  <w:style w:type="character" w:customStyle="1" w:styleId="pplr8t-x-x-901">
    <w:name w:val="pplr8t-x-x-901"/>
    <w:basedOn w:val="Absatz-Standardschriftart"/>
    <w:qFormat/>
    <w:rPr>
      <w:sz w:val="22"/>
      <w:szCs w:val="22"/>
    </w:rPr>
  </w:style>
  <w:style w:type="character" w:customStyle="1" w:styleId="FuzeileZchn">
    <w:name w:val="Fußzeile Zchn"/>
    <w:basedOn w:val="Absatz-Standardschriftart"/>
    <w:link w:val="Fuzeile"/>
    <w:uiPriority w:val="99"/>
    <w:qFormat/>
    <w:rsid w:val="006676A1"/>
    <w:rPr>
      <w:rFonts w:eastAsiaTheme="minorEastAsia"/>
      <w:szCs w:val="24"/>
    </w:rPr>
  </w:style>
  <w:style w:type="character" w:styleId="Seitenzahl">
    <w:name w:val="page number"/>
    <w:basedOn w:val="Absatz-Standardschriftart"/>
    <w:uiPriority w:val="99"/>
    <w:semiHidden/>
    <w:unhideWhenUsed/>
    <w:qFormat/>
    <w:rsid w:val="006676A1"/>
  </w:style>
  <w:style w:type="character" w:styleId="Fett">
    <w:name w:val="Strong"/>
    <w:basedOn w:val="Absatz-Standardschriftart"/>
    <w:uiPriority w:val="22"/>
    <w:qFormat/>
    <w:rsid w:val="006B78E4"/>
    <w:rPr>
      <w:b/>
      <w:bCs/>
    </w:rPr>
  </w:style>
  <w:style w:type="character" w:customStyle="1" w:styleId="Betont">
    <w:name w:val="Betont"/>
    <w:basedOn w:val="Absatz-Standardschriftart"/>
    <w:uiPriority w:val="20"/>
    <w:qFormat/>
    <w:rsid w:val="009C2ADD"/>
    <w:rPr>
      <w:i/>
      <w:iCs/>
    </w:rPr>
  </w:style>
  <w:style w:type="character" w:styleId="Endnotenzeichen">
    <w:name w:val="endnote reference"/>
    <w:qFormat/>
  </w:style>
  <w:style w:type="paragraph" w:customStyle="1" w:styleId="berschrift">
    <w:name w:val="Überschrift"/>
    <w:basedOn w:val="Standard"/>
    <w:next w:val="Textkrper"/>
    <w:qFormat/>
    <w:pPr>
      <w:keepNext/>
      <w:spacing w:before="240" w:after="120"/>
    </w:pPr>
    <w:rPr>
      <w:rFonts w:ascii="Liberation Sans" w:eastAsia="PingFang SC" w:hAnsi="Liberation Sans" w:cs="Lucida Sans"/>
      <w:sz w:val="28"/>
      <w:szCs w:val="28"/>
    </w:rPr>
  </w:style>
  <w:style w:type="paragraph" w:styleId="Textkrper">
    <w:name w:val="Body Text"/>
    <w:basedOn w:val="Standard"/>
    <w:pPr>
      <w:spacing w:before="0" w:after="140" w:line="276" w:lineRule="auto"/>
    </w:pPr>
  </w:style>
  <w:style w:type="paragraph" w:styleId="Liste">
    <w:name w:val="List"/>
    <w:basedOn w:val="Textkrper"/>
    <w:rPr>
      <w:rFonts w:cs="Lucida Sans"/>
    </w:rPr>
  </w:style>
  <w:style w:type="paragraph" w:styleId="Beschriftung">
    <w:name w:val="caption"/>
    <w:basedOn w:val="Standard"/>
    <w:qFormat/>
    <w:pPr>
      <w:suppressLineNumbers/>
      <w:spacing w:before="120" w:after="120"/>
    </w:pPr>
    <w:rPr>
      <w:rFonts w:cs="Lucida Sans"/>
      <w:i/>
      <w:iCs/>
      <w:sz w:val="24"/>
    </w:rPr>
  </w:style>
  <w:style w:type="paragraph" w:customStyle="1" w:styleId="Verzeichnis">
    <w:name w:val="Verzeichnis"/>
    <w:basedOn w:val="Standard"/>
    <w:qFormat/>
    <w:pPr>
      <w:suppressLineNumbers/>
    </w:pPr>
    <w:rPr>
      <w:rFonts w:cs="Lucida Sans"/>
    </w:rPr>
  </w:style>
  <w:style w:type="paragraph" w:customStyle="1" w:styleId="msonormal0">
    <w:name w:val="msonormal"/>
    <w:basedOn w:val="Standard"/>
    <w:qFormat/>
    <w:pPr>
      <w:spacing w:beforeAutospacing="1" w:afterAutospacing="1"/>
    </w:pPr>
  </w:style>
  <w:style w:type="paragraph" w:customStyle="1" w:styleId="noindent">
    <w:name w:val="noindent"/>
    <w:basedOn w:val="Standard"/>
    <w:qFormat/>
    <w:pPr>
      <w:spacing w:beforeAutospacing="1" w:afterAutospacing="1"/>
    </w:pPr>
  </w:style>
  <w:style w:type="paragraph" w:customStyle="1" w:styleId="nopar">
    <w:name w:val="nopar"/>
    <w:basedOn w:val="Standard"/>
    <w:qFormat/>
    <w:pPr>
      <w:spacing w:beforeAutospacing="1" w:afterAutospacing="1"/>
    </w:pPr>
  </w:style>
  <w:style w:type="paragraph" w:customStyle="1" w:styleId="indent">
    <w:name w:val="indent"/>
    <w:basedOn w:val="Standard"/>
    <w:qFormat/>
    <w:pPr>
      <w:spacing w:beforeAutospacing="1" w:afterAutospacing="1"/>
      <w:ind w:firstLine="360"/>
    </w:pPr>
  </w:style>
  <w:style w:type="paragraph" w:styleId="StandardWeb">
    <w:name w:val="Normal (Web)"/>
    <w:basedOn w:val="Standard"/>
    <w:uiPriority w:val="99"/>
    <w:semiHidden/>
    <w:unhideWhenUsed/>
    <w:qFormat/>
    <w:pPr>
      <w:spacing w:beforeAutospacing="1" w:afterAutospacing="1"/>
    </w:pPr>
  </w:style>
  <w:style w:type="paragraph" w:customStyle="1" w:styleId="bibitem">
    <w:name w:val="bibitem"/>
    <w:basedOn w:val="Standard"/>
    <w:qFormat/>
    <w:pPr>
      <w:spacing w:before="144" w:after="144"/>
      <w:ind w:left="480" w:hanging="480"/>
    </w:pPr>
  </w:style>
  <w:style w:type="paragraph" w:customStyle="1" w:styleId="bibitem-p">
    <w:name w:val="bibitem-p"/>
    <w:basedOn w:val="Standard"/>
    <w:qFormat/>
    <w:pPr>
      <w:spacing w:before="144" w:after="144"/>
      <w:ind w:left="480"/>
    </w:pPr>
  </w:style>
  <w:style w:type="paragraph" w:customStyle="1" w:styleId="pplrc8t-x-x-172">
    <w:name w:val="pplrc8t-x-x-172"/>
    <w:basedOn w:val="Standard"/>
    <w:qFormat/>
    <w:pPr>
      <w:spacing w:beforeAutospacing="1" w:afterAutospacing="1"/>
    </w:pPr>
    <w:rPr>
      <w:sz w:val="41"/>
      <w:szCs w:val="41"/>
    </w:rPr>
  </w:style>
  <w:style w:type="paragraph" w:customStyle="1" w:styleId="pplr8t-x-x-144">
    <w:name w:val="pplr8t-x-x-144"/>
    <w:basedOn w:val="Standard"/>
    <w:qFormat/>
    <w:pPr>
      <w:spacing w:beforeAutospacing="1" w:afterAutospacing="1"/>
    </w:pPr>
    <w:rPr>
      <w:sz w:val="35"/>
      <w:szCs w:val="35"/>
    </w:rPr>
  </w:style>
  <w:style w:type="paragraph" w:customStyle="1" w:styleId="pplrc8t-x-x-144">
    <w:name w:val="pplrc8t-x-x-144"/>
    <w:basedOn w:val="Standard"/>
    <w:qFormat/>
    <w:pPr>
      <w:spacing w:beforeAutospacing="1" w:afterAutospacing="1"/>
    </w:pPr>
    <w:rPr>
      <w:sz w:val="35"/>
      <w:szCs w:val="35"/>
    </w:rPr>
  </w:style>
  <w:style w:type="paragraph" w:customStyle="1" w:styleId="pplr8t-x-x-120">
    <w:name w:val="pplr8t-x-x-120"/>
    <w:basedOn w:val="Standard"/>
    <w:qFormat/>
    <w:pPr>
      <w:spacing w:beforeAutospacing="1" w:afterAutospacing="1"/>
    </w:pPr>
    <w:rPr>
      <w:sz w:val="29"/>
      <w:szCs w:val="29"/>
    </w:rPr>
  </w:style>
  <w:style w:type="paragraph" w:customStyle="1" w:styleId="pplri8t-">
    <w:name w:val="pplri8t-"/>
    <w:basedOn w:val="Standard"/>
    <w:qFormat/>
    <w:pPr>
      <w:spacing w:beforeAutospacing="1" w:afterAutospacing="1"/>
    </w:pPr>
    <w:rPr>
      <w:i/>
      <w:iCs/>
    </w:rPr>
  </w:style>
  <w:style w:type="paragraph" w:customStyle="1" w:styleId="pplr8t-x-x-90">
    <w:name w:val="pplr8t-x-x-90"/>
    <w:basedOn w:val="Standard"/>
    <w:qFormat/>
    <w:pPr>
      <w:spacing w:beforeAutospacing="1" w:afterAutospacing="1"/>
    </w:pPr>
    <w:rPr>
      <w:sz w:val="22"/>
      <w:szCs w:val="22"/>
    </w:rPr>
  </w:style>
  <w:style w:type="paragraph" w:customStyle="1" w:styleId="pplr8t-x-x-80">
    <w:name w:val="pplr8t-x-x-80"/>
    <w:basedOn w:val="Standard"/>
    <w:qFormat/>
    <w:pPr>
      <w:spacing w:beforeAutospacing="1" w:afterAutospacing="1"/>
    </w:pPr>
    <w:rPr>
      <w:sz w:val="19"/>
      <w:szCs w:val="19"/>
    </w:rPr>
  </w:style>
  <w:style w:type="paragraph" w:customStyle="1" w:styleId="pplri8t-x-x-80">
    <w:name w:val="pplri8t-x-x-80"/>
    <w:basedOn w:val="Standard"/>
    <w:qFormat/>
    <w:pPr>
      <w:spacing w:beforeAutospacing="1" w:afterAutospacing="1"/>
    </w:pPr>
    <w:rPr>
      <w:i/>
      <w:iCs/>
      <w:sz w:val="19"/>
      <w:szCs w:val="19"/>
    </w:rPr>
  </w:style>
  <w:style w:type="paragraph" w:customStyle="1" w:styleId="small-caps">
    <w:name w:val="small-caps"/>
    <w:basedOn w:val="Standard"/>
    <w:qFormat/>
    <w:pPr>
      <w:spacing w:beforeAutospacing="1" w:afterAutospacing="1"/>
    </w:pPr>
    <w:rPr>
      <w:smallCaps/>
    </w:rPr>
  </w:style>
  <w:style w:type="paragraph" w:customStyle="1" w:styleId="enumerate1">
    <w:name w:val="enumerate1"/>
    <w:basedOn w:val="Standard"/>
    <w:qFormat/>
    <w:pPr>
      <w:spacing w:beforeAutospacing="1" w:afterAutospacing="1"/>
    </w:pPr>
  </w:style>
  <w:style w:type="paragraph" w:customStyle="1" w:styleId="enumerate2">
    <w:name w:val="enumerate2"/>
    <w:basedOn w:val="Standard"/>
    <w:qFormat/>
    <w:pPr>
      <w:spacing w:beforeAutospacing="1" w:afterAutospacing="1"/>
    </w:pPr>
  </w:style>
  <w:style w:type="paragraph" w:customStyle="1" w:styleId="enumerate3">
    <w:name w:val="enumerate3"/>
    <w:basedOn w:val="Standard"/>
    <w:qFormat/>
    <w:pPr>
      <w:spacing w:beforeAutospacing="1" w:afterAutospacing="1"/>
    </w:pPr>
  </w:style>
  <w:style w:type="paragraph" w:customStyle="1" w:styleId="enumerate4">
    <w:name w:val="enumerate4"/>
    <w:basedOn w:val="Standard"/>
    <w:qFormat/>
    <w:pPr>
      <w:spacing w:beforeAutospacing="1" w:afterAutospacing="1"/>
    </w:pPr>
  </w:style>
  <w:style w:type="paragraph" w:customStyle="1" w:styleId="obeylines-h">
    <w:name w:val="obeylines-h"/>
    <w:basedOn w:val="Standard"/>
    <w:qFormat/>
    <w:pPr>
      <w:spacing w:beforeAutospacing="1" w:afterAutospacing="1"/>
    </w:pPr>
  </w:style>
  <w:style w:type="paragraph" w:customStyle="1" w:styleId="obeylines-v">
    <w:name w:val="obeylines-v"/>
    <w:basedOn w:val="Standard"/>
    <w:qFormat/>
    <w:pPr>
      <w:spacing w:beforeAutospacing="1" w:afterAutospacing="1"/>
    </w:pPr>
  </w:style>
  <w:style w:type="paragraph" w:customStyle="1" w:styleId="centerline">
    <w:name w:val="centerline"/>
    <w:basedOn w:val="Standard"/>
    <w:qFormat/>
    <w:pPr>
      <w:spacing w:beforeAutospacing="1" w:afterAutospacing="1"/>
      <w:jc w:val="center"/>
    </w:pPr>
  </w:style>
  <w:style w:type="paragraph" w:customStyle="1" w:styleId="rightline">
    <w:name w:val="rightline"/>
    <w:basedOn w:val="Standard"/>
    <w:qFormat/>
    <w:pPr>
      <w:spacing w:beforeAutospacing="1" w:afterAutospacing="1"/>
      <w:jc w:val="right"/>
    </w:pPr>
  </w:style>
  <w:style w:type="paragraph" w:customStyle="1" w:styleId="fbox">
    <w:name w:val="fbox"/>
    <w:basedOn w:val="Standard"/>
    <w:qFormat/>
    <w:pPr>
      <w:pBdr>
        <w:top w:val="single" w:sz="2" w:space="0" w:color="000000"/>
        <w:left w:val="single" w:sz="2" w:space="3" w:color="000000"/>
        <w:bottom w:val="single" w:sz="2" w:space="0" w:color="000000"/>
        <w:right w:val="single" w:sz="2" w:space="3" w:color="000000"/>
      </w:pBdr>
      <w:spacing w:beforeAutospacing="1" w:afterAutospacing="1"/>
    </w:pPr>
  </w:style>
  <w:style w:type="paragraph" w:customStyle="1" w:styleId="underline">
    <w:name w:val="underline"/>
    <w:basedOn w:val="Standard"/>
    <w:qFormat/>
    <w:pPr>
      <w:spacing w:beforeAutospacing="1" w:afterAutospacing="1"/>
    </w:pPr>
    <w:rPr>
      <w:u w:val="single"/>
    </w:rPr>
  </w:style>
  <w:style w:type="paragraph" w:customStyle="1" w:styleId="framebox-c">
    <w:name w:val="framebox-c"/>
    <w:basedOn w:val="Standard"/>
    <w:qFormat/>
    <w:pPr>
      <w:pBdr>
        <w:top w:val="single" w:sz="2" w:space="0" w:color="000000"/>
        <w:left w:val="single" w:sz="2" w:space="3" w:color="000000"/>
        <w:bottom w:val="single" w:sz="2" w:space="0" w:color="000000"/>
        <w:right w:val="single" w:sz="2" w:space="3" w:color="000000"/>
      </w:pBdr>
      <w:spacing w:beforeAutospacing="1" w:afterAutospacing="1"/>
      <w:jc w:val="center"/>
    </w:pPr>
  </w:style>
  <w:style w:type="paragraph" w:customStyle="1" w:styleId="framebox-l">
    <w:name w:val="framebox-l"/>
    <w:basedOn w:val="Standard"/>
    <w:qFormat/>
    <w:pPr>
      <w:pBdr>
        <w:top w:val="single" w:sz="2" w:space="0" w:color="000000"/>
        <w:left w:val="single" w:sz="2" w:space="3" w:color="000000"/>
        <w:bottom w:val="single" w:sz="2" w:space="0" w:color="000000"/>
        <w:right w:val="single" w:sz="2" w:space="3" w:color="000000"/>
      </w:pBdr>
      <w:spacing w:beforeAutospacing="1" w:afterAutospacing="1"/>
    </w:pPr>
  </w:style>
  <w:style w:type="paragraph" w:customStyle="1" w:styleId="framebox-r">
    <w:name w:val="framebox-r"/>
    <w:basedOn w:val="Standard"/>
    <w:qFormat/>
    <w:pPr>
      <w:pBdr>
        <w:top w:val="single" w:sz="2" w:space="0" w:color="000000"/>
        <w:left w:val="single" w:sz="2" w:space="3" w:color="000000"/>
        <w:bottom w:val="single" w:sz="2" w:space="0" w:color="000000"/>
        <w:right w:val="single" w:sz="2" w:space="3" w:color="000000"/>
      </w:pBdr>
      <w:spacing w:beforeAutospacing="1" w:afterAutospacing="1"/>
      <w:jc w:val="right"/>
    </w:pPr>
  </w:style>
  <w:style w:type="paragraph" w:customStyle="1" w:styleId="tabbing-right">
    <w:name w:val="tabbing-right"/>
    <w:basedOn w:val="Standard"/>
    <w:qFormat/>
    <w:pPr>
      <w:spacing w:beforeAutospacing="1" w:afterAutospacing="1"/>
      <w:jc w:val="right"/>
    </w:pPr>
  </w:style>
  <w:style w:type="paragraph" w:customStyle="1" w:styleId="marginpar">
    <w:name w:val="marginpar"/>
    <w:basedOn w:val="Standard"/>
    <w:qFormat/>
    <w:pPr>
      <w:spacing w:before="120" w:afterAutospacing="1"/>
    </w:pPr>
    <w:rPr>
      <w:szCs w:val="20"/>
      <w:u w:val="single"/>
    </w:rPr>
  </w:style>
  <w:style w:type="paragraph" w:customStyle="1" w:styleId="parttoc">
    <w:name w:val="parttoc"/>
    <w:basedOn w:val="Standard"/>
    <w:qFormat/>
    <w:pPr>
      <w:spacing w:beforeAutospacing="1" w:afterAutospacing="1" w:line="480" w:lineRule="auto"/>
    </w:pPr>
    <w:rPr>
      <w:b/>
      <w:bCs/>
      <w:sz w:val="26"/>
      <w:szCs w:val="26"/>
    </w:rPr>
  </w:style>
  <w:style w:type="paragraph" w:customStyle="1" w:styleId="likeparttoc">
    <w:name w:val="likeparttoc"/>
    <w:basedOn w:val="Standard"/>
    <w:qFormat/>
    <w:pPr>
      <w:spacing w:beforeAutospacing="1" w:afterAutospacing="1" w:line="480" w:lineRule="auto"/>
    </w:pPr>
    <w:rPr>
      <w:b/>
      <w:bCs/>
      <w:sz w:val="26"/>
      <w:szCs w:val="26"/>
    </w:rPr>
  </w:style>
  <w:style w:type="paragraph" w:customStyle="1" w:styleId="chaptertoc">
    <w:name w:val="chaptertoc"/>
    <w:basedOn w:val="Standard"/>
    <w:qFormat/>
    <w:pPr>
      <w:spacing w:beforeAutospacing="1" w:afterAutospacing="1" w:line="480" w:lineRule="auto"/>
    </w:pPr>
    <w:rPr>
      <w:b/>
      <w:bCs/>
    </w:rPr>
  </w:style>
  <w:style w:type="paragraph" w:customStyle="1" w:styleId="likechaptertoc">
    <w:name w:val="likechaptertoc"/>
    <w:basedOn w:val="Standard"/>
    <w:qFormat/>
    <w:pPr>
      <w:spacing w:beforeAutospacing="1" w:afterAutospacing="1" w:line="480" w:lineRule="auto"/>
    </w:pPr>
    <w:rPr>
      <w:b/>
      <w:bCs/>
    </w:rPr>
  </w:style>
  <w:style w:type="paragraph" w:customStyle="1" w:styleId="appendixtoc">
    <w:name w:val="appendixtoc"/>
    <w:basedOn w:val="Standard"/>
    <w:qFormat/>
    <w:pPr>
      <w:spacing w:beforeAutospacing="1" w:afterAutospacing="1" w:line="480" w:lineRule="auto"/>
    </w:pPr>
    <w:rPr>
      <w:b/>
      <w:bCs/>
    </w:rPr>
  </w:style>
  <w:style w:type="paragraph" w:customStyle="1" w:styleId="index-item">
    <w:name w:val="index-item"/>
    <w:basedOn w:val="Standard"/>
    <w:qFormat/>
    <w:pPr>
      <w:spacing w:beforeAutospacing="1" w:afterAutospacing="1"/>
    </w:pPr>
  </w:style>
  <w:style w:type="paragraph" w:customStyle="1" w:styleId="index-subitem">
    <w:name w:val="index-subitem"/>
    <w:basedOn w:val="Standard"/>
    <w:qFormat/>
    <w:pPr>
      <w:spacing w:beforeAutospacing="1" w:afterAutospacing="1"/>
    </w:pPr>
  </w:style>
  <w:style w:type="paragraph" w:customStyle="1" w:styleId="index-subsubitem">
    <w:name w:val="index-subsubitem"/>
    <w:basedOn w:val="Standard"/>
    <w:qFormat/>
    <w:pPr>
      <w:spacing w:beforeAutospacing="1" w:afterAutospacing="1"/>
    </w:pPr>
  </w:style>
  <w:style w:type="paragraph" w:customStyle="1" w:styleId="paragraphhead">
    <w:name w:val="paragraphhead"/>
    <w:basedOn w:val="Standard"/>
    <w:qFormat/>
    <w:pPr>
      <w:spacing w:before="480" w:afterAutospacing="1"/>
    </w:pPr>
    <w:rPr>
      <w:b/>
      <w:bCs/>
    </w:rPr>
  </w:style>
  <w:style w:type="paragraph" w:customStyle="1" w:styleId="likeparagraphhead">
    <w:name w:val="likeparagraphhead"/>
    <w:basedOn w:val="Standard"/>
    <w:qFormat/>
    <w:pPr>
      <w:spacing w:before="480" w:afterAutospacing="1"/>
    </w:pPr>
    <w:rPr>
      <w:b/>
      <w:bCs/>
    </w:rPr>
  </w:style>
  <w:style w:type="paragraph" w:customStyle="1" w:styleId="subparagraphhead">
    <w:name w:val="subparagraphhead"/>
    <w:basedOn w:val="Standard"/>
    <w:qFormat/>
    <w:pPr>
      <w:spacing w:beforeAutospacing="1" w:afterAutospacing="1"/>
    </w:pPr>
    <w:rPr>
      <w:b/>
      <w:bCs/>
    </w:rPr>
  </w:style>
  <w:style w:type="paragraph" w:customStyle="1" w:styleId="likesubparagraphhead">
    <w:name w:val="likesubparagraphhead"/>
    <w:basedOn w:val="Standard"/>
    <w:qFormat/>
    <w:pPr>
      <w:spacing w:beforeAutospacing="1" w:afterAutospacing="1"/>
    </w:pPr>
    <w:rPr>
      <w:b/>
      <w:bCs/>
    </w:rPr>
  </w:style>
  <w:style w:type="paragraph" w:customStyle="1" w:styleId="Zitat1">
    <w:name w:val="Zitat1"/>
    <w:basedOn w:val="Standard"/>
    <w:qFormat/>
    <w:pPr>
      <w:spacing w:before="60" w:after="60"/>
      <w:ind w:left="240" w:right="240"/>
    </w:pPr>
  </w:style>
  <w:style w:type="paragraph" w:customStyle="1" w:styleId="verse">
    <w:name w:val="verse"/>
    <w:basedOn w:val="Standard"/>
    <w:qFormat/>
    <w:pPr>
      <w:spacing w:beforeAutospacing="1" w:afterAutospacing="1"/>
      <w:ind w:left="480"/>
    </w:pPr>
  </w:style>
  <w:style w:type="paragraph" w:customStyle="1" w:styleId="quotation">
    <w:name w:val="quotation"/>
    <w:basedOn w:val="Standard"/>
    <w:qFormat/>
    <w:pPr>
      <w:spacing w:before="60" w:after="60"/>
      <w:ind w:left="240"/>
    </w:pPr>
  </w:style>
  <w:style w:type="paragraph" w:customStyle="1" w:styleId="likesectiontoc">
    <w:name w:val="likesectiontoc"/>
    <w:basedOn w:val="Standard"/>
    <w:qFormat/>
    <w:pPr>
      <w:spacing w:beforeAutospacing="1" w:afterAutospacing="1"/>
    </w:pPr>
  </w:style>
  <w:style w:type="paragraph" w:customStyle="1" w:styleId="sectiontoc">
    <w:name w:val="sectiontoc"/>
    <w:basedOn w:val="Standard"/>
    <w:qFormat/>
    <w:pPr>
      <w:spacing w:beforeAutospacing="1" w:afterAutospacing="1"/>
    </w:pPr>
  </w:style>
  <w:style w:type="paragraph" w:customStyle="1" w:styleId="likesubsectiontoc">
    <w:name w:val="likesubsectiontoc"/>
    <w:basedOn w:val="Standard"/>
    <w:qFormat/>
    <w:pPr>
      <w:spacing w:beforeAutospacing="1" w:afterAutospacing="1"/>
    </w:pPr>
  </w:style>
  <w:style w:type="paragraph" w:customStyle="1" w:styleId="subsectiontoc">
    <w:name w:val="subsectiontoc"/>
    <w:basedOn w:val="Standard"/>
    <w:qFormat/>
    <w:pPr>
      <w:spacing w:beforeAutospacing="1" w:afterAutospacing="1"/>
    </w:pPr>
  </w:style>
  <w:style w:type="paragraph" w:customStyle="1" w:styleId="noindent1">
    <w:name w:val="noindent1"/>
    <w:basedOn w:val="Standard"/>
    <w:qFormat/>
    <w:pPr>
      <w:spacing w:afterAutospacing="1"/>
    </w:pPr>
  </w:style>
  <w:style w:type="paragraph" w:customStyle="1" w:styleId="indent1">
    <w:name w:val="indent1"/>
    <w:basedOn w:val="Standard"/>
    <w:qFormat/>
    <w:pPr>
      <w:spacing w:beforeAutospacing="1" w:afterAutospacing="1"/>
    </w:pPr>
  </w:style>
  <w:style w:type="paragraph" w:customStyle="1" w:styleId="enumerate">
    <w:name w:val="enumerate"/>
    <w:basedOn w:val="Standard"/>
    <w:qFormat/>
    <w:pPr>
      <w:spacing w:beforeAutospacing="1" w:afterAutospacing="1"/>
    </w:pPr>
  </w:style>
  <w:style w:type="paragraph" w:customStyle="1" w:styleId="Kopf-undFuzeile">
    <w:name w:val="Kopf- und Fußzeile"/>
    <w:basedOn w:val="Standard"/>
    <w:qFormat/>
  </w:style>
  <w:style w:type="paragraph" w:styleId="Fuzeile">
    <w:name w:val="footer"/>
    <w:basedOn w:val="Standard"/>
    <w:link w:val="FuzeileZchn"/>
    <w:uiPriority w:val="99"/>
    <w:unhideWhenUsed/>
    <w:rsid w:val="006676A1"/>
    <w:pPr>
      <w:tabs>
        <w:tab w:val="center" w:pos="4536"/>
        <w:tab w:val="right" w:pos="9072"/>
      </w:tabs>
      <w:spacing w:before="0" w:after="0" w:line="240" w:lineRule="auto"/>
    </w:pPr>
  </w:style>
  <w:style w:type="paragraph" w:styleId="Kopfzeile">
    <w:name w:val="header"/>
    <w:basedOn w:val="Standard"/>
    <w:link w:val="KopfzeileZchn"/>
    <w:uiPriority w:val="99"/>
    <w:unhideWhenUsed/>
    <w:rsid w:val="00D0778F"/>
    <w:pPr>
      <w:tabs>
        <w:tab w:val="center" w:pos="4536"/>
        <w:tab w:val="right" w:pos="9072"/>
      </w:tabs>
      <w:spacing w:before="0" w:after="0" w:line="240" w:lineRule="auto"/>
    </w:pPr>
  </w:style>
  <w:style w:type="character" w:customStyle="1" w:styleId="KopfzeileZchn">
    <w:name w:val="Kopfzeile Zchn"/>
    <w:basedOn w:val="Absatz-Standardschriftart"/>
    <w:link w:val="Kopfzeile"/>
    <w:uiPriority w:val="99"/>
    <w:rsid w:val="00D0778F"/>
    <w:rPr>
      <w:rFonts w:eastAsiaTheme="minorEastAsia"/>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29004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hyperlink" Target="http://Rom_in_Gotha-2020-01-06.html.LyXconv/Rom_in_Gotha-2020-01-063.html" TargetMode="Externa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www.accademia-vitruviana.net/accademia" TargetMode="Externa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footnotes" Target="footnotes.xml"/><Relationship Id="rId9" Type="http://schemas.openxmlformats.org/officeDocument/2006/relationships/hyperlink" Target="http://Rom_in_Gotha-2020-01-06.html.LyXconv/Rom_in_Gotha-2020-01-0632.html"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2.jpeg"/><Relationship Id="rId3" Type="http://schemas.openxmlformats.org/officeDocument/2006/relationships/webSettings" Target="webSetting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71</Pages>
  <Words>12492</Words>
  <Characters>78705</Characters>
  <Application>Microsoft Office Word</Application>
  <DocSecurity>0</DocSecurity>
  <Lines>655</Lines>
  <Paragraphs>182</Paragraphs>
  <ScaleCrop>false</ScaleCrop>
  <HeadingPairs>
    <vt:vector size="2" baseType="variant">
      <vt:variant>
        <vt:lpstr>Titel</vt:lpstr>
      </vt:variant>
      <vt:variant>
        <vt:i4>1</vt:i4>
      </vt:variant>
    </vt:vector>
  </HeadingPairs>
  <TitlesOfParts>
    <vt:vector size="1" baseType="lpstr">
      <vt:lpstr> Rom in Gotha Architektur auf antiken Munzen in Jacopo Stradas Magnus ac Novum Opus </vt:lpstr>
    </vt:vector>
  </TitlesOfParts>
  <Company/>
  <LinksUpToDate>false</LinksUpToDate>
  <CharactersWithSpaces>91015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Rom in Gotha Architektur auf antiken Munzen in Jacopo Stradas Magnus ac Novum Opus </dc:title>
  <dc:subject/>
  <dc:creator>Bernd Kulawik</dc:creator>
  <dc:description/>
  <cp:lastModifiedBy>Bernd Kulawik</cp:lastModifiedBy>
  <cp:revision>99</cp:revision>
  <dcterms:created xsi:type="dcterms:W3CDTF">2020-01-28T14:12:00Z</dcterms:created>
  <dcterms:modified xsi:type="dcterms:W3CDTF">2020-01-28T20:59:00Z</dcterms:modified>
  <dc:language>de-CH</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